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4B032" w14:textId="77777777" w:rsidR="002258AC" w:rsidRPr="007A66CF" w:rsidRDefault="002258AC" w:rsidP="007A66CF">
      <w:pPr>
        <w:spacing w:after="0" w:line="240" w:lineRule="auto"/>
        <w:rPr>
          <w:rFonts w:ascii="Calibri" w:hAnsi="Calibri" w:cs="Calibri"/>
          <w:b/>
          <w:bCs/>
          <w:sz w:val="23"/>
          <w:szCs w:val="23"/>
        </w:rPr>
      </w:pPr>
    </w:p>
    <w:p w14:paraId="0C0143C1" w14:textId="77777777" w:rsidR="00B93534" w:rsidRPr="007A66CF" w:rsidRDefault="00B93534" w:rsidP="007A66CF">
      <w:pPr>
        <w:spacing w:after="0" w:line="240" w:lineRule="auto"/>
        <w:rPr>
          <w:rFonts w:ascii="Calibri" w:hAnsi="Calibri" w:cs="Calibri"/>
          <w:sz w:val="23"/>
          <w:szCs w:val="23"/>
        </w:rPr>
      </w:pPr>
      <w:r w:rsidRPr="007A66CF">
        <w:rPr>
          <w:rFonts w:ascii="Calibri" w:hAnsi="Calibri" w:cs="Calibri"/>
          <w:sz w:val="23"/>
          <w:szCs w:val="23"/>
        </w:rPr>
        <w:t xml:space="preserve">Załącznik nr 1 do Regulaminu rekrutacji i uczestnictwa w projekcie </w:t>
      </w:r>
    </w:p>
    <w:p w14:paraId="13F7E8F7" w14:textId="77777777" w:rsidR="00DA2BA4" w:rsidRPr="007A66CF" w:rsidRDefault="00DA2BA4" w:rsidP="007A66CF">
      <w:pPr>
        <w:spacing w:after="0" w:line="240" w:lineRule="auto"/>
        <w:rPr>
          <w:rFonts w:ascii="Calibri" w:hAnsi="Calibri" w:cs="Calibri"/>
          <w:b/>
          <w:bCs/>
          <w:sz w:val="23"/>
          <w:szCs w:val="23"/>
        </w:rPr>
      </w:pPr>
    </w:p>
    <w:p w14:paraId="28107361" w14:textId="77777777" w:rsidR="00DA2BA4" w:rsidRPr="007A66CF" w:rsidRDefault="00DA2BA4" w:rsidP="007A66CF">
      <w:pPr>
        <w:spacing w:after="0" w:line="240" w:lineRule="auto"/>
        <w:rPr>
          <w:rFonts w:ascii="Calibri" w:hAnsi="Calibri" w:cs="Calibri"/>
          <w:b/>
          <w:bCs/>
          <w:sz w:val="23"/>
          <w:szCs w:val="23"/>
        </w:rPr>
      </w:pPr>
    </w:p>
    <w:p w14:paraId="6A954786" w14:textId="7DAFC2E4" w:rsidR="00371E15" w:rsidRPr="007A66CF" w:rsidRDefault="00371E15" w:rsidP="007A66CF">
      <w:pPr>
        <w:spacing w:after="0" w:line="240" w:lineRule="auto"/>
        <w:jc w:val="center"/>
        <w:rPr>
          <w:rFonts w:ascii="Calibri" w:hAnsi="Calibri" w:cs="Calibri"/>
          <w:b/>
          <w:bCs/>
          <w:sz w:val="23"/>
          <w:szCs w:val="23"/>
        </w:rPr>
      </w:pPr>
      <w:r w:rsidRPr="007A66CF">
        <w:rPr>
          <w:rFonts w:ascii="Calibri" w:hAnsi="Calibri" w:cs="Calibri"/>
          <w:b/>
          <w:bCs/>
          <w:sz w:val="23"/>
          <w:szCs w:val="23"/>
        </w:rPr>
        <w:t>Dyskryminacja i równe prawa</w:t>
      </w:r>
    </w:p>
    <w:p w14:paraId="27D03F22" w14:textId="77777777" w:rsidR="00371E15" w:rsidRPr="007A66CF" w:rsidRDefault="00371E15" w:rsidP="007A66CF">
      <w:pPr>
        <w:spacing w:after="0" w:line="240" w:lineRule="auto"/>
        <w:rPr>
          <w:rFonts w:ascii="Calibri" w:hAnsi="Calibri" w:cs="Calibri"/>
          <w:sz w:val="23"/>
          <w:szCs w:val="23"/>
        </w:rPr>
      </w:pPr>
    </w:p>
    <w:p w14:paraId="6CBDFD1D"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Kiedy pracownik jest dyskryminowany</w:t>
      </w:r>
    </w:p>
    <w:p w14:paraId="4FA420D8" w14:textId="34A2F68A"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Pracownicy mają równe prawa z tytułu jednakowego wypełniania takich samych obowiązków. Dotyczy to w szczególności nakazu równego traktowania mężczyzn i kobiet w zatrudnieniu. Zasada ta wynika bezpośrednio z Kodeksu pracy.</w:t>
      </w:r>
    </w:p>
    <w:p w14:paraId="668CDA1B" w14:textId="77777777" w:rsidR="00371E15" w:rsidRPr="007A66CF" w:rsidRDefault="00371E15" w:rsidP="007A66CF">
      <w:pPr>
        <w:spacing w:after="0" w:line="240" w:lineRule="auto"/>
        <w:rPr>
          <w:rFonts w:ascii="Calibri" w:hAnsi="Calibri" w:cs="Calibri"/>
          <w:sz w:val="23"/>
          <w:szCs w:val="23"/>
        </w:rPr>
      </w:pPr>
    </w:p>
    <w:p w14:paraId="44981D44"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Zgodnie z nim pracownicy powinni być traktowani równo w zakresie:</w:t>
      </w:r>
    </w:p>
    <w:p w14:paraId="2C2FB203" w14:textId="1B12D4A0"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nawiązania stosunku pracy</w:t>
      </w:r>
    </w:p>
    <w:p w14:paraId="3CCCE10D" w14:textId="421CFCD1"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ustalania warunków zatrudnienia</w:t>
      </w:r>
    </w:p>
    <w:p w14:paraId="1AE27FE6" w14:textId="5D2057F5"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awansowania oraz dostępu do szkolenia w celu podnoszenia kwalifikacji zawodowych</w:t>
      </w:r>
    </w:p>
    <w:p w14:paraId="7E515BAA" w14:textId="41BD31A8"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rozwiązania stosunku pracy.</w:t>
      </w:r>
    </w:p>
    <w:p w14:paraId="1236830B"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Katalog przyczyn, ze względu na które nie można różnicować sytuacji pracownika, jest otwarty.</w:t>
      </w:r>
    </w:p>
    <w:p w14:paraId="4859C2B7" w14:textId="77777777" w:rsidR="00371E15" w:rsidRPr="007A66CF" w:rsidRDefault="00371E15" w:rsidP="007A66CF">
      <w:pPr>
        <w:spacing w:after="0" w:line="240" w:lineRule="auto"/>
        <w:rPr>
          <w:rFonts w:ascii="Calibri" w:hAnsi="Calibri" w:cs="Calibri"/>
          <w:sz w:val="23"/>
          <w:szCs w:val="23"/>
        </w:rPr>
      </w:pPr>
    </w:p>
    <w:p w14:paraId="32735863" w14:textId="368FD36D" w:rsidR="00371E15" w:rsidRPr="007A66CF" w:rsidRDefault="00371E15" w:rsidP="007A66CF">
      <w:pPr>
        <w:spacing w:after="0" w:line="240" w:lineRule="auto"/>
        <w:rPr>
          <w:rFonts w:ascii="Calibri" w:hAnsi="Calibri" w:cs="Calibri"/>
          <w:b/>
          <w:bCs/>
          <w:sz w:val="23"/>
          <w:szCs w:val="23"/>
        </w:rPr>
      </w:pPr>
      <w:r w:rsidRPr="007A66CF">
        <w:rPr>
          <w:rFonts w:ascii="Calibri" w:hAnsi="Calibri" w:cs="Calibri"/>
          <w:b/>
          <w:bCs/>
          <w:sz w:val="23"/>
          <w:szCs w:val="23"/>
        </w:rPr>
        <w:t>Kodeks pracy wymienia przykładowo:</w:t>
      </w:r>
    </w:p>
    <w:p w14:paraId="0E12A363" w14:textId="3D009160"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płeć</w:t>
      </w:r>
    </w:p>
    <w:p w14:paraId="7C12C322" w14:textId="2864D7B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wiek</w:t>
      </w:r>
    </w:p>
    <w:p w14:paraId="76D4FC10" w14:textId="06093856"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niepełnosprawność</w:t>
      </w:r>
    </w:p>
    <w:p w14:paraId="63D6F6CF" w14:textId="129D8268"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rasę</w:t>
      </w:r>
    </w:p>
    <w:p w14:paraId="48C74CEC" w14:textId="0EF488D4"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religię</w:t>
      </w:r>
    </w:p>
    <w:p w14:paraId="20DEDEE4" w14:textId="53D4240E"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narodowość</w:t>
      </w:r>
    </w:p>
    <w:p w14:paraId="21198C8C" w14:textId="74DC5630"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przekonania polityczne</w:t>
      </w:r>
    </w:p>
    <w:p w14:paraId="6C31A7C8" w14:textId="05926BAC"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przynależność związkową</w:t>
      </w:r>
    </w:p>
    <w:p w14:paraId="47FE8417" w14:textId="7E24AF5E"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pochodzenie etniczne</w:t>
      </w:r>
    </w:p>
    <w:p w14:paraId="0A1E3782" w14:textId="2C1B7D83"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wyznanie</w:t>
      </w:r>
    </w:p>
    <w:p w14:paraId="44441ED6" w14:textId="7715CC9F"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orientację seksualną</w:t>
      </w:r>
    </w:p>
    <w:p w14:paraId="045FE2D2" w14:textId="3B4D0084"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zatrudnienie na czas określony lub nieokreślony</w:t>
      </w:r>
    </w:p>
    <w:p w14:paraId="6D8D350E" w14:textId="3321FFCB"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zatrudnienie w pełnym lub w niepełnym wymiarze czasu pracy.</w:t>
      </w:r>
    </w:p>
    <w:p w14:paraId="5D393EB7"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Co to jest dyskryminacja bezpośrednia i pośrednia</w:t>
      </w:r>
    </w:p>
    <w:p w14:paraId="7827CA38" w14:textId="3A5EE9DC"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Równe traktowanie oznacza niedyskryminowanie w jakikolwiek sposób, bezpośrednio lub pośrednio.</w:t>
      </w:r>
    </w:p>
    <w:p w14:paraId="2985BB15" w14:textId="77777777" w:rsidR="00371E15" w:rsidRPr="007A66CF" w:rsidRDefault="00371E15" w:rsidP="007A66CF">
      <w:pPr>
        <w:spacing w:after="0" w:line="240" w:lineRule="auto"/>
        <w:rPr>
          <w:rFonts w:ascii="Calibri" w:hAnsi="Calibri" w:cs="Calibri"/>
          <w:sz w:val="23"/>
          <w:szCs w:val="23"/>
        </w:rPr>
      </w:pPr>
    </w:p>
    <w:p w14:paraId="29D74344" w14:textId="663E71F7" w:rsidR="00371E15" w:rsidRPr="007A66CF" w:rsidRDefault="00371E15" w:rsidP="007A66CF">
      <w:pPr>
        <w:spacing w:after="0" w:line="240" w:lineRule="auto"/>
        <w:rPr>
          <w:rFonts w:ascii="Calibri" w:hAnsi="Calibri" w:cs="Calibri"/>
          <w:b/>
          <w:bCs/>
          <w:sz w:val="23"/>
          <w:szCs w:val="23"/>
        </w:rPr>
      </w:pPr>
      <w:r w:rsidRPr="007A66CF">
        <w:rPr>
          <w:rFonts w:ascii="Calibri" w:hAnsi="Calibri" w:cs="Calibri"/>
          <w:b/>
          <w:bCs/>
          <w:sz w:val="23"/>
          <w:szCs w:val="23"/>
        </w:rPr>
        <w:t>Żeby mówić o dyskryminacji:</w:t>
      </w:r>
    </w:p>
    <w:p w14:paraId="423C6118" w14:textId="137049FB"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pracodawca nie musi dyskryminować z powodu danej cechy wszystkich pracowników</w:t>
      </w:r>
    </w:p>
    <w:p w14:paraId="2165A3F2" w14:textId="14C5E149"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dyskryminacja pracownika nie musi być świadomym i celowym działaniem sprawcy.</w:t>
      </w:r>
    </w:p>
    <w:p w14:paraId="534F46AA"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Dyskryminowanie bezpośrednie ma miejsce wtedy, gdy pracownik był, jest lub mógłby być traktowany w porównywalnej sytuacji mniej korzystnie niż inni pracownicy z powodu jednej lub kilku przyczyn uznawanych za kryteria dyskryminacyjne.</w:t>
      </w:r>
    </w:p>
    <w:p w14:paraId="2356DA1A" w14:textId="77777777" w:rsidR="00371E15" w:rsidRPr="007A66CF" w:rsidRDefault="00371E15" w:rsidP="007A66CF">
      <w:pPr>
        <w:spacing w:after="0" w:line="240" w:lineRule="auto"/>
        <w:rPr>
          <w:rFonts w:ascii="Calibri" w:hAnsi="Calibri" w:cs="Calibri"/>
          <w:sz w:val="23"/>
          <w:szCs w:val="23"/>
        </w:rPr>
      </w:pPr>
    </w:p>
    <w:p w14:paraId="6BF8C53F" w14:textId="06606186" w:rsidR="00371E15" w:rsidRPr="007A66CF" w:rsidRDefault="00371E15" w:rsidP="007A66CF">
      <w:pPr>
        <w:spacing w:after="0" w:line="240" w:lineRule="auto"/>
        <w:rPr>
          <w:rFonts w:ascii="Calibri" w:hAnsi="Calibri" w:cs="Calibri"/>
          <w:b/>
          <w:bCs/>
          <w:sz w:val="23"/>
          <w:szCs w:val="23"/>
        </w:rPr>
      </w:pPr>
      <w:r w:rsidRPr="007A66CF">
        <w:rPr>
          <w:rFonts w:ascii="Calibri" w:hAnsi="Calibri" w:cs="Calibri"/>
          <w:b/>
          <w:bCs/>
          <w:sz w:val="23"/>
          <w:szCs w:val="23"/>
        </w:rPr>
        <w:t>Przykład</w:t>
      </w:r>
    </w:p>
    <w:p w14:paraId="41B3FDE5"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xml:space="preserve">Pracodawca organizuje szkolenie przydatne w codziennej pracy każdego pracownika zatrudnionego w tym przedsiębiorstwie. Do udziału w szkoleniu są wyznaczeni wszyscy pracownicy zakładu z wyjątkiem pracownika w wieku 50+. Pracodawca odmawia mu udziału w szkoleniu. Jako powód swojej decyzji wskazuje potrzebę inwestowania w młodszych </w:t>
      </w:r>
      <w:r w:rsidRPr="007A66CF">
        <w:rPr>
          <w:rFonts w:ascii="Calibri" w:hAnsi="Calibri" w:cs="Calibri"/>
          <w:sz w:val="23"/>
          <w:szCs w:val="23"/>
        </w:rPr>
        <w:lastRenderedPageBreak/>
        <w:t>pracowników. Powyższa sytuacja może być uznana za przejaw dyskryminacji bezpośredniej z uwagi na wiek.</w:t>
      </w:r>
    </w:p>
    <w:p w14:paraId="31200559" w14:textId="77777777" w:rsidR="00371E15" w:rsidRPr="007A66CF" w:rsidRDefault="00371E15" w:rsidP="007A66CF">
      <w:pPr>
        <w:spacing w:after="0" w:line="240" w:lineRule="auto"/>
        <w:rPr>
          <w:rFonts w:ascii="Calibri" w:hAnsi="Calibri" w:cs="Calibri"/>
          <w:sz w:val="23"/>
          <w:szCs w:val="23"/>
        </w:rPr>
      </w:pPr>
    </w:p>
    <w:p w14:paraId="3479E1ED"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Dyskryminowanie pośrednie ma miejsce, kiedy na skutek pozornie neutralnego postanowienia, zastosowanego kryterium lub podjętego działania występują lub mogłyby wystąpić niekorzystne dysproporcje albo szczególnie niekorzystna sytuacja w zakresie nawiązania i rozwiązania stosunku pracy, warunków zatrudnienia, awansowania oraz dostępu do szkolenia w celu podnoszenia kwalifikacji zawodowych wobec wszystkich lub znacznej liczby pracowników należących do grupy wyróżnionej ze względu na jedną lub kilka przyczyn określonych jako dyskryminacyjne.</w:t>
      </w:r>
    </w:p>
    <w:p w14:paraId="42DD1C96" w14:textId="77777777" w:rsidR="00371E15" w:rsidRPr="007A66CF" w:rsidRDefault="00371E15" w:rsidP="007A66CF">
      <w:pPr>
        <w:spacing w:after="0" w:line="240" w:lineRule="auto"/>
        <w:rPr>
          <w:rFonts w:ascii="Calibri" w:hAnsi="Calibri" w:cs="Calibri"/>
          <w:sz w:val="23"/>
          <w:szCs w:val="23"/>
        </w:rPr>
      </w:pPr>
    </w:p>
    <w:p w14:paraId="556EFCE8" w14:textId="3A8A0767" w:rsidR="00371E15" w:rsidRPr="007A66CF" w:rsidRDefault="00371E15" w:rsidP="007A66CF">
      <w:pPr>
        <w:spacing w:after="0" w:line="240" w:lineRule="auto"/>
        <w:rPr>
          <w:rFonts w:ascii="Calibri" w:hAnsi="Calibri" w:cs="Calibri"/>
          <w:b/>
          <w:bCs/>
          <w:sz w:val="23"/>
          <w:szCs w:val="23"/>
        </w:rPr>
      </w:pPr>
      <w:r w:rsidRPr="007A66CF">
        <w:rPr>
          <w:rFonts w:ascii="Calibri" w:hAnsi="Calibri" w:cs="Calibri"/>
          <w:b/>
          <w:bCs/>
          <w:sz w:val="23"/>
          <w:szCs w:val="23"/>
        </w:rPr>
        <w:t>Przykład</w:t>
      </w:r>
    </w:p>
    <w:p w14:paraId="14805EC2" w14:textId="5C4ADD52"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Regulamin wynagradzania obowiązujący w zakładzie pracy uzależnia przyznanie comiesięcznej premii finansowej od wypracowania określonych efektów pracy (liczby wyprodukowanych elementów). Pracownicy zatrudnieni na niepełny etat nie mają możliwości wyprodukowania elementów w takiej liczbie, która umożliwiłaby im nabycie prawa do tego świadczenia. W konsekwencji dochodzi do dyskryminacji pośredniej określonej grupy pracowników zakładu z uwagi na zatrudnienie w niepełnym wymiarze czasu pracy.</w:t>
      </w:r>
    </w:p>
    <w:p w14:paraId="2BC62D15" w14:textId="3F198A00"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Do dyskryminacji pośredniej nie dochodzi wtedy, gdy postanowienie, kryterium lub działalnie pracodawcy jest obiektywnie uzasadnione ze względu na zgodny z prawem cel, który ma być osiągnięty, a środki służące osiągnięciu tego celu są właściwe i konieczne.</w:t>
      </w:r>
    </w:p>
    <w:p w14:paraId="0F3EF4EB" w14:textId="51CFFB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Przejawem dyskryminowania jest także zachęcanie innej osoby do naruszenia zasady równego traktowania w zatrudnieniu lub nakazaniu jej naruszenia tej zasady.</w:t>
      </w:r>
    </w:p>
    <w:p w14:paraId="16D1AD48" w14:textId="32EED96D" w:rsidR="00371E15" w:rsidRPr="007A66CF" w:rsidRDefault="00371E15" w:rsidP="007A66CF">
      <w:pPr>
        <w:spacing w:after="0" w:line="240" w:lineRule="auto"/>
        <w:rPr>
          <w:rFonts w:ascii="Calibri" w:hAnsi="Calibri" w:cs="Calibri"/>
          <w:b/>
          <w:bCs/>
          <w:sz w:val="23"/>
          <w:szCs w:val="23"/>
        </w:rPr>
      </w:pPr>
      <w:r w:rsidRPr="007A66CF">
        <w:rPr>
          <w:rFonts w:ascii="Calibri" w:hAnsi="Calibri" w:cs="Calibri"/>
          <w:b/>
          <w:bCs/>
          <w:sz w:val="23"/>
          <w:szCs w:val="23"/>
        </w:rPr>
        <w:t>Przykład</w:t>
      </w:r>
    </w:p>
    <w:p w14:paraId="04F16EEA"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Dyrektor marketingu nakazuje dyrektorowi działu rekrutacji, aby niezależnie od doświadczenia i umiejętności posiadanych przez kandydatów do pracy zatrudniał na stanowisko kelnera w sieci restauracji wyłącznie kobiety do 25. roku życia w sytuacji, w której nie jest to uzasadnione żadnymi obiektywnymi względami. Charakter pracy i sposób jej wykonywania nie wymaga, aby świadczyły ją wyłącznie takie osoby Pracownik, który jest zachęcany przez przełożonego czy pracodawcę do działań dyskryminacyjnych, może odmówić wykonania polecenia, gdyż jest ono niezgodne z prawem.</w:t>
      </w:r>
    </w:p>
    <w:p w14:paraId="3D38AC9F" w14:textId="77777777" w:rsidR="00371E15" w:rsidRPr="007A66CF" w:rsidRDefault="00371E15" w:rsidP="007A66CF">
      <w:pPr>
        <w:spacing w:after="0" w:line="240" w:lineRule="auto"/>
        <w:rPr>
          <w:rFonts w:ascii="Calibri" w:hAnsi="Calibri" w:cs="Calibri"/>
          <w:sz w:val="23"/>
          <w:szCs w:val="23"/>
        </w:rPr>
      </w:pPr>
    </w:p>
    <w:p w14:paraId="424330A5" w14:textId="77777777" w:rsidR="00371E15" w:rsidRPr="007A66CF" w:rsidRDefault="00371E15" w:rsidP="007A66CF">
      <w:pPr>
        <w:spacing w:after="0" w:line="240" w:lineRule="auto"/>
        <w:rPr>
          <w:rFonts w:ascii="Calibri" w:hAnsi="Calibri" w:cs="Calibri"/>
          <w:b/>
          <w:bCs/>
          <w:sz w:val="23"/>
          <w:szCs w:val="23"/>
        </w:rPr>
      </w:pPr>
      <w:r w:rsidRPr="007A66CF">
        <w:rPr>
          <w:rFonts w:ascii="Calibri" w:hAnsi="Calibri" w:cs="Calibri"/>
          <w:b/>
          <w:bCs/>
          <w:sz w:val="23"/>
          <w:szCs w:val="23"/>
        </w:rPr>
        <w:t>Co to jest molestowanie i molestowanie seksualne</w:t>
      </w:r>
    </w:p>
    <w:p w14:paraId="26ADFE76" w14:textId="77777777" w:rsidR="00371E15" w:rsidRPr="007A66CF" w:rsidRDefault="00371E15" w:rsidP="007A66CF">
      <w:pPr>
        <w:spacing w:after="0" w:line="240" w:lineRule="auto"/>
        <w:rPr>
          <w:rFonts w:ascii="Calibri" w:hAnsi="Calibri" w:cs="Calibri"/>
          <w:sz w:val="23"/>
          <w:szCs w:val="23"/>
          <w:u w:val="single"/>
        </w:rPr>
      </w:pPr>
      <w:r w:rsidRPr="007A66CF">
        <w:rPr>
          <w:rFonts w:ascii="Calibri" w:hAnsi="Calibri" w:cs="Calibri"/>
          <w:sz w:val="23"/>
          <w:szCs w:val="23"/>
          <w:u w:val="single"/>
        </w:rPr>
        <w:t>Molestowanie</w:t>
      </w:r>
    </w:p>
    <w:p w14:paraId="51F0CEAB" w14:textId="1017F23B"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Jedną z form dyskryminacji jest molestowanie. Oznacza ono niepożądane zachowanie, którego celem lub skutkiem jest naruszenie godności pracownika i stworzenie wobec niego zastraszającej, wrogiej, poniżającej, upokarzającej lub uwłaczającej atmosfery.</w:t>
      </w:r>
    </w:p>
    <w:p w14:paraId="7E54E185" w14:textId="01B48DCA"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Do molestowania dochodzi wtedy, gdy przyczyną niepożądanego zachowania jest jedno z kryteriów dyskryminacyjnych, w szczególności: płeć, wiek, niepełnosprawność, rasa, religia, narodowość, przekonania polityczne, przynależność związkowa, pochodzenie etniczne, wyznanie, orientacja seksualna, zatrudnienie na czas określony lub nieokreślony, zatrudnienie w pełnym lub w niepełnym wymiarze czasu pracy.</w:t>
      </w:r>
    </w:p>
    <w:p w14:paraId="195C9A96" w14:textId="77777777" w:rsidR="00371E15" w:rsidRPr="007A66CF" w:rsidRDefault="00371E15" w:rsidP="007A66CF">
      <w:pPr>
        <w:spacing w:after="0" w:line="240" w:lineRule="auto"/>
        <w:rPr>
          <w:rFonts w:ascii="Calibri" w:hAnsi="Calibri" w:cs="Calibri"/>
          <w:sz w:val="23"/>
          <w:szCs w:val="23"/>
          <w:u w:val="single"/>
        </w:rPr>
      </w:pPr>
      <w:r w:rsidRPr="007A66CF">
        <w:rPr>
          <w:rFonts w:ascii="Calibri" w:hAnsi="Calibri" w:cs="Calibri"/>
          <w:sz w:val="23"/>
          <w:szCs w:val="23"/>
          <w:u w:val="single"/>
        </w:rPr>
        <w:t>Molestowanie seksualne</w:t>
      </w:r>
    </w:p>
    <w:p w14:paraId="614CCDE1" w14:textId="06B03562"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Rodzajem dyskryminacji ze względu na płeć jest molestowanie seksualne.</w:t>
      </w:r>
    </w:p>
    <w:p w14:paraId="726D0816" w14:textId="30FCB085"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Aby dane zachowanie zostało zakwalifikowane jako molestowanie seksualne:</w:t>
      </w:r>
    </w:p>
    <w:p w14:paraId="5BDC31A5" w14:textId="255AEAC0"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musi być niepożądane</w:t>
      </w:r>
    </w:p>
    <w:p w14:paraId="2969784F" w14:textId="288FFAB2"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musi mieć charakter seksualny lub odnosić się do płci pracownika</w:t>
      </w:r>
    </w:p>
    <w:p w14:paraId="4E3941B8" w14:textId="7BDB79A2"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jego celem lub skutkiem jest naruszenie godności pracownika, w szczególności stworzenie wobec niego zastraszającej, wrogiej, poniżającej, upokarzającej lub uwłaczającej atmosfery.</w:t>
      </w:r>
    </w:p>
    <w:p w14:paraId="294ABF2D" w14:textId="2DD63F21"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lastRenderedPageBreak/>
        <w:t>Molestowanie seksualne może występować w formie fizycznej, werbalnej lub pozawerbalnej. Przykładami takiego zachowania będą:</w:t>
      </w:r>
    </w:p>
    <w:p w14:paraId="3394F3D8" w14:textId="3B18FF62"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nakłanianie do czynności seksualnych z wykorzystaniem własnej przewagi</w:t>
      </w:r>
    </w:p>
    <w:p w14:paraId="745B7EC8" w14:textId="26E77642"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szantaż seksualny</w:t>
      </w:r>
    </w:p>
    <w:p w14:paraId="751BAC46" w14:textId="48230BF2"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sprośne aluzje lub żarty</w:t>
      </w:r>
    </w:p>
    <w:p w14:paraId="41ACEFBE" w14:textId="7E3126F0"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prezentowanie treści o charakterze pornograficznym, na przykład rysunków, filmików.</w:t>
      </w:r>
    </w:p>
    <w:p w14:paraId="760C77E7" w14:textId="77777777" w:rsidR="00371E15" w:rsidRPr="007A66CF" w:rsidRDefault="00371E15" w:rsidP="007A66CF">
      <w:pPr>
        <w:spacing w:after="0" w:line="240" w:lineRule="auto"/>
        <w:rPr>
          <w:rFonts w:ascii="Calibri" w:hAnsi="Calibri" w:cs="Calibri"/>
          <w:sz w:val="23"/>
          <w:szCs w:val="23"/>
        </w:rPr>
      </w:pPr>
    </w:p>
    <w:p w14:paraId="22761EAC" w14:textId="3EAFB701" w:rsidR="00371E15" w:rsidRPr="007A66CF" w:rsidRDefault="00371E15" w:rsidP="007A66CF">
      <w:pPr>
        <w:spacing w:after="0" w:line="240" w:lineRule="auto"/>
        <w:rPr>
          <w:rFonts w:ascii="Calibri" w:hAnsi="Calibri" w:cs="Calibri"/>
          <w:sz w:val="23"/>
          <w:szCs w:val="23"/>
          <w:u w:val="single"/>
        </w:rPr>
      </w:pPr>
      <w:r w:rsidRPr="007A66CF">
        <w:rPr>
          <w:rFonts w:ascii="Calibri" w:hAnsi="Calibri" w:cs="Calibri"/>
          <w:sz w:val="23"/>
          <w:szCs w:val="23"/>
          <w:u w:val="single"/>
        </w:rPr>
        <w:t>Sprzeciw wobec niepożądanego zachowania</w:t>
      </w:r>
    </w:p>
    <w:p w14:paraId="5507BAE4" w14:textId="5760D140"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Osoba doświadczająca molestowania lub molestowania seksualnego powinna wyrazić sprzeciw wobec niepożądanego zachowania.</w:t>
      </w:r>
    </w:p>
    <w:p w14:paraId="31D45FB4" w14:textId="384879AA" w:rsidR="00371E15" w:rsidRPr="007A66CF" w:rsidRDefault="00371E15" w:rsidP="007A66CF">
      <w:pPr>
        <w:spacing w:after="0" w:line="240" w:lineRule="auto"/>
        <w:rPr>
          <w:rFonts w:ascii="Calibri" w:hAnsi="Calibri" w:cs="Calibri"/>
          <w:sz w:val="23"/>
          <w:szCs w:val="23"/>
          <w:u w:val="single"/>
        </w:rPr>
      </w:pPr>
      <w:r w:rsidRPr="007A66CF">
        <w:rPr>
          <w:rFonts w:ascii="Calibri" w:hAnsi="Calibri" w:cs="Calibri"/>
          <w:sz w:val="23"/>
          <w:szCs w:val="23"/>
          <w:u w:val="single"/>
        </w:rPr>
        <w:t>Sprzeciw może mieć charakter:</w:t>
      </w:r>
    </w:p>
    <w:p w14:paraId="3B683796"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werbalny i polegać na przykład na bezpośrednim zwróceniu się do sprawcy i poinformowaniu go o niepożądanym charakterze jego zachowania</w:t>
      </w:r>
    </w:p>
    <w:p w14:paraId="28293C00"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pozawerbalny i polegać na przykład na unikaniu kontaktu ze sprawcą.</w:t>
      </w:r>
    </w:p>
    <w:p w14:paraId="1449DFD3" w14:textId="4F703A6F"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Dzięki wyrażonemu sprzeciwowi pracodawca będzie mógł zareagować na niechciane zachowania i im przeciwdziałać.</w:t>
      </w:r>
    </w:p>
    <w:p w14:paraId="680038E4" w14:textId="1F7E9FB3"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Sprzeciw jest także istotny ze względów dowodowych. Potwierdza to orzecznictwo sądowe, które wskazuje, że obowiązkiem ofiary jest uprawdopodobnienie, że:</w:t>
      </w:r>
    </w:p>
    <w:p w14:paraId="6B9364E8" w14:textId="2ED9F844"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wystąpiło molestowanie seksualne</w:t>
      </w:r>
    </w:p>
    <w:p w14:paraId="10930F92" w14:textId="4F65F9BB"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sprzeciwiła się temu zachowaniu.</w:t>
      </w:r>
    </w:p>
    <w:p w14:paraId="602F193E" w14:textId="162A6DCD"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Wówczas to na pracodawcy będzie ciążył obowiązek udowodnienia (a nie uprawdopodobnienia), że nie doszło do molestowania. Jest to wyjątkowa sytuacja procesowa, w której osoba inicjująca postępowanie (pracownik) nie musi udowadniać swoich twierdzeń, a wystarczy, że je uprawdopodobni. W praktyce pracownicy przedstawiają swoją wersję wydarzeń w pozwie i w ramach przesłuchania.</w:t>
      </w:r>
    </w:p>
    <w:p w14:paraId="09E84E0C"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Natomiast to pracodawca musi wykazać, że zarzuty pracownika są nieprawdziwe i przedstawić dowody, które to potwierdzą.</w:t>
      </w:r>
    </w:p>
    <w:p w14:paraId="3006D2C4" w14:textId="77777777" w:rsidR="00371E15" w:rsidRPr="007A66CF" w:rsidRDefault="00371E15" w:rsidP="007A66CF">
      <w:pPr>
        <w:spacing w:after="0" w:line="240" w:lineRule="auto"/>
        <w:rPr>
          <w:rFonts w:ascii="Calibri" w:hAnsi="Calibri" w:cs="Calibri"/>
          <w:sz w:val="23"/>
          <w:szCs w:val="23"/>
        </w:rPr>
      </w:pPr>
    </w:p>
    <w:p w14:paraId="10D069B8"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Ważne! Ani podporządkowanie się przez pracownika molestowaniu, ani podjęcie przez niego działań przeciwstawiających się molestowaniu nie może powodować jakichkolwiek negatywnych konsekwencji dla pracownika.</w:t>
      </w:r>
    </w:p>
    <w:p w14:paraId="26747A62" w14:textId="77777777" w:rsidR="00371E15" w:rsidRPr="007A66CF" w:rsidRDefault="00371E15" w:rsidP="007A66CF">
      <w:pPr>
        <w:spacing w:after="0" w:line="240" w:lineRule="auto"/>
        <w:rPr>
          <w:rFonts w:ascii="Calibri" w:hAnsi="Calibri" w:cs="Calibri"/>
          <w:sz w:val="23"/>
          <w:szCs w:val="23"/>
        </w:rPr>
      </w:pPr>
    </w:p>
    <w:p w14:paraId="5D87C077" w14:textId="77777777" w:rsidR="00371E15" w:rsidRPr="007A66CF" w:rsidRDefault="00371E15" w:rsidP="007A66CF">
      <w:pPr>
        <w:spacing w:after="0" w:line="240" w:lineRule="auto"/>
        <w:rPr>
          <w:rFonts w:ascii="Calibri" w:hAnsi="Calibri" w:cs="Calibri"/>
          <w:b/>
          <w:bCs/>
          <w:sz w:val="23"/>
          <w:szCs w:val="23"/>
        </w:rPr>
      </w:pPr>
      <w:r w:rsidRPr="007A66CF">
        <w:rPr>
          <w:rFonts w:ascii="Calibri" w:hAnsi="Calibri" w:cs="Calibri"/>
          <w:b/>
          <w:bCs/>
          <w:sz w:val="23"/>
          <w:szCs w:val="23"/>
        </w:rPr>
        <w:t>Zasada równego traktowania w zatrudnieniu</w:t>
      </w:r>
    </w:p>
    <w:p w14:paraId="6DCC5CF5" w14:textId="74C3166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Jedną z podstawowych zasad zarządzania pracownikami przez pracodawcę jest zasada równego traktowania. Oznacza ona, że pracownicy muszą mieć równe prawa z tytułu wykonywania takich samych obowiązków.</w:t>
      </w:r>
    </w:p>
    <w:p w14:paraId="11FA101E" w14:textId="7B3F71D0"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Zgodnie z zasadą równego traktowania pracownicy powinni być równo traktowani w zakresie:</w:t>
      </w:r>
    </w:p>
    <w:p w14:paraId="4149024D" w14:textId="729B0B89"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nawiązania stosunku pracy</w:t>
      </w:r>
    </w:p>
    <w:p w14:paraId="28EA0EAE" w14:textId="14599D6B"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warunków zatrudnienia</w:t>
      </w:r>
    </w:p>
    <w:p w14:paraId="3641E05C" w14:textId="7DCEE37A"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awansowania</w:t>
      </w:r>
    </w:p>
    <w:p w14:paraId="1848F746" w14:textId="7A6C3DE9"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dostępu do szkoleń w celu podnoszenia kwalifikacji zawodowych</w:t>
      </w:r>
    </w:p>
    <w:p w14:paraId="424307B4" w14:textId="23BAD921"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rozwiązania stosunku pracy.</w:t>
      </w:r>
    </w:p>
    <w:p w14:paraId="1EAD8378" w14:textId="5228912B"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Za naruszenie zasady równego traktowania w zatrudnieniu uważa się różnicowanie przez pracodawcę sytuacji pracownika na przykład poprzez:</w:t>
      </w:r>
    </w:p>
    <w:p w14:paraId="0199525D" w14:textId="7126E42D"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odmowę nawiązania stosunku pracy</w:t>
      </w:r>
    </w:p>
    <w:p w14:paraId="71F95D00" w14:textId="076513BC"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niekorzystne ukształtowanie wynagrodzenia za pracę lub innych warunków zatrudnienia albo pominięcie przy awansowaniu lub przyznawaniu innych świadczeń związanych z pracą</w:t>
      </w:r>
    </w:p>
    <w:p w14:paraId="0671B115" w14:textId="24F3666E"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pominięcie przy typowaniu do udziału w szkoleniach podnoszących kwalifikacje zawodowe</w:t>
      </w:r>
    </w:p>
    <w:p w14:paraId="52A316D2" w14:textId="1D145595"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rozwiązanie stosunku pracy.</w:t>
      </w:r>
    </w:p>
    <w:p w14:paraId="55AF45DD"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lastRenderedPageBreak/>
        <w:t>chyba że pracodawca udowodni, że kierował się obiektywnymi powodami.</w:t>
      </w:r>
    </w:p>
    <w:p w14:paraId="40180561" w14:textId="77777777" w:rsidR="00371E15" w:rsidRPr="007A66CF" w:rsidRDefault="00371E15" w:rsidP="007A66CF">
      <w:pPr>
        <w:spacing w:after="0" w:line="240" w:lineRule="auto"/>
        <w:rPr>
          <w:rFonts w:ascii="Calibri" w:hAnsi="Calibri" w:cs="Calibri"/>
          <w:sz w:val="23"/>
          <w:szCs w:val="23"/>
        </w:rPr>
      </w:pPr>
    </w:p>
    <w:p w14:paraId="4C8FA877" w14:textId="19E557C3"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Różnica między zasadą równego traktowania a dyskryminacją pracownika polega na tym, że dyskryminacja jest jednym z możliwych przejawów nierównego traktowania i polega na nierównym traktowaniu ze względu na kryterium dyskryminacyjne.</w:t>
      </w:r>
    </w:p>
    <w:p w14:paraId="3E3EBF2A"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Nierówne traktowanie nie zawsze jest jednak powiązane z konkretnym kryterium dyskryminacyjnym i z tego względu nie zawsze będzie oznaczało dyskryminację.</w:t>
      </w:r>
    </w:p>
    <w:p w14:paraId="0838713F" w14:textId="77777777" w:rsidR="00371E15" w:rsidRPr="007A66CF" w:rsidRDefault="00371E15" w:rsidP="007A66CF">
      <w:pPr>
        <w:spacing w:after="0" w:line="240" w:lineRule="auto"/>
        <w:rPr>
          <w:rFonts w:ascii="Calibri" w:hAnsi="Calibri" w:cs="Calibri"/>
          <w:sz w:val="23"/>
          <w:szCs w:val="23"/>
        </w:rPr>
      </w:pPr>
    </w:p>
    <w:p w14:paraId="2C74B4DA" w14:textId="0E649AA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Konsekwencje naruszenia zasady równego traktowania i złamania zakazu dyskryminacji są odmienne. W pierwszym przypadku może być uzasadniona odpowiedzialność odszkodowawcza pracodawcy na ogólnych zasadach odpowiedzialności kontraktowej.</w:t>
      </w:r>
    </w:p>
    <w:p w14:paraId="173CE291" w14:textId="448D9EBB"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W przypadku dyskryminacji przepisy Kodeksu pracy przewidują odszkodowanie w wysokości nie niższej niż minimalne wynagrodzenie za pracę. W przypadku odpowiedzialności kontraktowej nie ma ustalonej dolnej granicy odszkodowania.</w:t>
      </w:r>
    </w:p>
    <w:p w14:paraId="6530B393" w14:textId="080F5044"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W obu przypadkach odszkodowanie nie ma górnego limitu wysokości. O tym, w jakiej wysokości zostanie zasądzone odszkodowanie na rzecz pracownika, zadecyduje sąd, biorąc pod uwagę sposób postępowania pracodawcy lub jego pracownika oraz stopień naruszenia zakazu dyskryminacji. Wytyczne do unijnej dyrektywy dotyczącej równego traktowania w zakresie zatrudnienia i pracy wskazują, że sankcje zasądzane pracownikowi od pracodawcy muszą być skuteczne, proporcjonalne i dolegliwe.</w:t>
      </w:r>
    </w:p>
    <w:p w14:paraId="1D70ABD0" w14:textId="4E86FC7F"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Skorzystanie przez pracownika z uprawnień przysługujących z tytułu naruszenia przepisów prawa pracy, w tym zasady równego traktowania w zatrudnieniu, nie może być podstawą jakiegokolwiek niekorzystnego traktowania. Ta zasada dotyczy również pracownika, który udzielił w jakiejkolwiek formie wsparcia innemu pracownikowi w tym zakresie.</w:t>
      </w:r>
    </w:p>
    <w:p w14:paraId="5EADCD37" w14:textId="2B916C0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Pracownik nie może być gorzej traktowany, w sytuacji, gdy, na przykład:</w:t>
      </w:r>
    </w:p>
    <w:p w14:paraId="4CA6A832" w14:textId="2594B702"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wystąpił z wnioskiem o urlop ojcowski, rodzicielski, opiekuńczy</w:t>
      </w:r>
    </w:p>
    <w:p w14:paraId="308F719D" w14:textId="3538CE35"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wystąpił z wnioskiem o czas wolny od pracy z powodu działania siły wyższej</w:t>
      </w:r>
    </w:p>
    <w:p w14:paraId="0A0659A6" w14:textId="712861A4"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skorzystał z elastycznego czasu racy</w:t>
      </w:r>
    </w:p>
    <w:p w14:paraId="30A9DEF7" w14:textId="11C6880F"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pozostaje w stosunku pracy z innym pracodawcą</w:t>
      </w:r>
    </w:p>
    <w:p w14:paraId="7FDB8344" w14:textId="2A737E00"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wykonuje pracę zdalną</w:t>
      </w:r>
    </w:p>
    <w:p w14:paraId="2347CA3B" w14:textId="6DAE5BB8"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wystąpił z wnioskiem o zmianę warunków pracy na bardziej przewidywalne lub bezpieczniejsze.</w:t>
      </w:r>
    </w:p>
    <w:p w14:paraId="1425FD19"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Nie możesz zwolnić pracownika tylko, dlatego, że dochodził swoich praw.</w:t>
      </w:r>
    </w:p>
    <w:p w14:paraId="106B5C63" w14:textId="77777777" w:rsidR="00371E15" w:rsidRPr="007A66CF" w:rsidRDefault="00371E15" w:rsidP="007A66CF">
      <w:pPr>
        <w:spacing w:after="0" w:line="240" w:lineRule="auto"/>
        <w:rPr>
          <w:rFonts w:ascii="Calibri" w:hAnsi="Calibri" w:cs="Calibri"/>
          <w:sz w:val="23"/>
          <w:szCs w:val="23"/>
        </w:rPr>
      </w:pPr>
    </w:p>
    <w:p w14:paraId="546F8FF3" w14:textId="5501A15F" w:rsidR="00371E15" w:rsidRPr="007A66CF" w:rsidRDefault="00371E15" w:rsidP="007A66CF">
      <w:pPr>
        <w:spacing w:after="0" w:line="240" w:lineRule="auto"/>
        <w:rPr>
          <w:rFonts w:ascii="Calibri" w:hAnsi="Calibri" w:cs="Calibri"/>
          <w:b/>
          <w:bCs/>
          <w:sz w:val="23"/>
          <w:szCs w:val="23"/>
        </w:rPr>
      </w:pPr>
      <w:r w:rsidRPr="007A66CF">
        <w:rPr>
          <w:rFonts w:ascii="Calibri" w:hAnsi="Calibri" w:cs="Calibri"/>
          <w:b/>
          <w:bCs/>
          <w:sz w:val="23"/>
          <w:szCs w:val="23"/>
        </w:rPr>
        <w:t>Przykład</w:t>
      </w:r>
    </w:p>
    <w:p w14:paraId="56F22FA0"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Pan Jan uważa, że jest dyskryminowany przez pracodawcę, bo otrzymuje niższe wynagrodzenie niż jego kolega. Postanowił dochodzić swoich praw na drodze postępowania sądowego. Pracodawca nie może wypowiedzieć mu umowy o pracę z tego powodu.</w:t>
      </w:r>
    </w:p>
    <w:p w14:paraId="2419EF82" w14:textId="77777777" w:rsidR="00371E15" w:rsidRPr="007A66CF" w:rsidRDefault="00371E15" w:rsidP="007A66CF">
      <w:pPr>
        <w:spacing w:after="0" w:line="240" w:lineRule="auto"/>
        <w:rPr>
          <w:rFonts w:ascii="Calibri" w:hAnsi="Calibri" w:cs="Calibri"/>
          <w:sz w:val="23"/>
          <w:szCs w:val="23"/>
        </w:rPr>
      </w:pPr>
    </w:p>
    <w:p w14:paraId="0E536759" w14:textId="3A989958" w:rsidR="00371E15" w:rsidRPr="007A66CF" w:rsidRDefault="00371E15" w:rsidP="007A66CF">
      <w:pPr>
        <w:spacing w:after="0" w:line="240" w:lineRule="auto"/>
        <w:rPr>
          <w:rFonts w:ascii="Calibri" w:hAnsi="Calibri" w:cs="Calibri"/>
          <w:b/>
          <w:bCs/>
          <w:sz w:val="23"/>
          <w:szCs w:val="23"/>
        </w:rPr>
      </w:pPr>
      <w:r w:rsidRPr="007A66CF">
        <w:rPr>
          <w:rFonts w:ascii="Calibri" w:hAnsi="Calibri" w:cs="Calibri"/>
          <w:b/>
          <w:bCs/>
          <w:sz w:val="23"/>
          <w:szCs w:val="23"/>
        </w:rPr>
        <w:t>Przykład</w:t>
      </w:r>
    </w:p>
    <w:p w14:paraId="7B67276A" w14:textId="0B3FAB06"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Pan Jan jest ojcem 3-letniego dziecka. Ze względu na konieczność sprawowania nad nim opieki wystąpił do pracodawcy z wnioskiem o możliwość wykonywania pracy w formie zdalnej. Pracodawca nie może z tego powodu dyskryminować Pana Jana, czy też wypowiedzieć mu umowy o pracę.</w:t>
      </w:r>
    </w:p>
    <w:p w14:paraId="5F93D7F9" w14:textId="2490C7CB"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Ważne! Pracownik, którego prawa zostaną naruszone, będzie miał prawo do odszkodowania w wysokości nie niższej niż minimalne wynagrodzenie za pracę.</w:t>
      </w:r>
    </w:p>
    <w:p w14:paraId="45D159E7" w14:textId="77777777" w:rsidR="00371E15" w:rsidRPr="007A66CF" w:rsidRDefault="00371E15" w:rsidP="007A66CF">
      <w:pPr>
        <w:spacing w:after="0" w:line="240" w:lineRule="auto"/>
        <w:rPr>
          <w:rFonts w:ascii="Calibri" w:hAnsi="Calibri" w:cs="Calibri"/>
          <w:b/>
          <w:bCs/>
          <w:sz w:val="23"/>
          <w:szCs w:val="23"/>
        </w:rPr>
      </w:pPr>
      <w:r w:rsidRPr="007A66CF">
        <w:rPr>
          <w:rFonts w:ascii="Calibri" w:hAnsi="Calibri" w:cs="Calibri"/>
          <w:b/>
          <w:bCs/>
          <w:sz w:val="23"/>
          <w:szCs w:val="23"/>
        </w:rPr>
        <w:t>Kiedy nierówne traktowanie jest dopuszczalne</w:t>
      </w:r>
    </w:p>
    <w:p w14:paraId="4CA4D17A" w14:textId="614D7C94"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Nie w każdej sytuacji różnicowanie pracowników jest niezgodne z prawem.</w:t>
      </w:r>
    </w:p>
    <w:p w14:paraId="6156D037" w14:textId="74B11EB1"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Odmienne traktowanie jest dopuszczalne w pewnych przypadkach, jeżeli jest proporcjonalne do osiągnięcia zgodnego z prawem celu różnicowania sytuacji pracownika.</w:t>
      </w:r>
    </w:p>
    <w:p w14:paraId="4D56F725" w14:textId="49F35FD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lastRenderedPageBreak/>
        <w:t>Pracodawca może stosować środki, które różnicują sytuację prawną pracownika, ze względu na ochronę rodzicielstwa lub niepełnosprawność.</w:t>
      </w:r>
    </w:p>
    <w:p w14:paraId="6056539F" w14:textId="18B0988B"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Dopuszczalne jest także stosowanie kryterium stażu pracy przy ustalaniu warunków zatrudniania i zwalniania pracowników, zasad wynagradzania i awansowania oraz dostępu do szkolenia w celu podnoszenia kwalifikacji zawodowych.</w:t>
      </w:r>
    </w:p>
    <w:p w14:paraId="398877B3" w14:textId="49D8D361"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Dłuższy staż pracy może uzasadniać lepsze warunki pracy pracownika lojalnego wobec pracodawcy.</w:t>
      </w:r>
    </w:p>
    <w:p w14:paraId="0E62A0E1" w14:textId="1E3203A3"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Pracodawca może także odmówić zatrudnienia pracownika z jednej lub kilku przyczyn prawnie chronionych, jeżeli rodzaj pracy lub warunki jej wykonywania powodują, że przyczyna lub przyczyny wymienione w tym przepisie są rzeczywistym i decydującym wymaganiem zawodowym stawianym pracownikowi.</w:t>
      </w:r>
    </w:p>
    <w:p w14:paraId="5B88C176" w14:textId="7FC23E0E"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Naruszeniem zasady równego traktowania nie jest także czasowe wyrównywanie szans wszystkich lub znacznej liczby pracowników wyróżnionych ze względu na jedną lub kilka przyczyn prawnie chronionych poprzez zmniejszenie na korzyść takich pracowników faktycznych nierówności.</w:t>
      </w:r>
    </w:p>
    <w:p w14:paraId="5179E05B" w14:textId="59D3A7FB"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Przykładem takiej grupy pracowników mogą być osoby niepełnosprawne.</w:t>
      </w:r>
    </w:p>
    <w:p w14:paraId="4BA0E73D"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Nie narusza zasady równego traktowania ograniczanie dostępu do zatrudnienia ze względu na religię, wyznanie lub światopogląd przez kościoły i inne związki wyznaniowe, a także organizacje, których etyka opiera się na religii, wyznaniu lub światopoglądzie.</w:t>
      </w:r>
    </w:p>
    <w:p w14:paraId="76D3E360" w14:textId="77777777" w:rsidR="00371E15" w:rsidRPr="007A66CF" w:rsidRDefault="00371E15" w:rsidP="007A66CF">
      <w:pPr>
        <w:spacing w:after="0" w:line="240" w:lineRule="auto"/>
        <w:rPr>
          <w:rFonts w:ascii="Calibri" w:hAnsi="Calibri" w:cs="Calibri"/>
          <w:sz w:val="23"/>
          <w:szCs w:val="23"/>
        </w:rPr>
      </w:pPr>
    </w:p>
    <w:p w14:paraId="1D9A7827" w14:textId="27E01CA1"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Dostęp można ograniczać jednak tylko w przypadku, gdy rodzaj lub charakter wykonywanej przez nie działalności powoduje, że religia, wyznanie lub światopogląd są rzeczywistym i decydującym wymaganiem zawodowym stawianym pracownikowi.</w:t>
      </w:r>
    </w:p>
    <w:p w14:paraId="033BD8EB" w14:textId="5BB71B29"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Wymaganie to musi być proporcjonalne do osiągnięcia zgodnego z prawem celu zróżnicowania sytuacji tej osoby. W tym zakresie wymienione podmioty mogą wymagać od pracownika działania w dobrej wierze i lojalności wobec etyki, na której się opierają w swojej działalności.</w:t>
      </w:r>
    </w:p>
    <w:p w14:paraId="29FD603A" w14:textId="77777777" w:rsidR="00371E15" w:rsidRPr="007A66CF" w:rsidRDefault="00371E15" w:rsidP="007A66CF">
      <w:pPr>
        <w:spacing w:after="0" w:line="240" w:lineRule="auto"/>
        <w:rPr>
          <w:rFonts w:ascii="Calibri" w:hAnsi="Calibri" w:cs="Calibri"/>
          <w:b/>
          <w:bCs/>
          <w:sz w:val="23"/>
          <w:szCs w:val="23"/>
        </w:rPr>
      </w:pPr>
      <w:r w:rsidRPr="007A66CF">
        <w:rPr>
          <w:rFonts w:ascii="Calibri" w:hAnsi="Calibri" w:cs="Calibri"/>
          <w:b/>
          <w:bCs/>
          <w:sz w:val="23"/>
          <w:szCs w:val="23"/>
        </w:rPr>
        <w:t>Prawo do jednakowego wynagrodzenia</w:t>
      </w:r>
    </w:p>
    <w:p w14:paraId="4907FB15" w14:textId="1A99E976"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Pracownicy mają prawo do jednakowego wynagrodzenia za jednakową pracę lub za pracę o jednakowej wartości.</w:t>
      </w:r>
    </w:p>
    <w:p w14:paraId="510DBB3F" w14:textId="1D9E071F"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Prace jednakowe to prace takie same pod względem rodzaju, kwalifikacji koniecznych do ich wykonywania, warunków, w jakich są świadczone, a także ilości i jakości. Ten sam rodzaj wykonywanej pracy czy to samo zajmowane stanowisko nie przesądza o jednakowym wynagrodzeniu, ponieważ sposób wykonania pracy przez pracowników może być różny, na przykład co do staranności, nakładu pracy, terminowości.</w:t>
      </w:r>
    </w:p>
    <w:p w14:paraId="0EF75085" w14:textId="5283ED0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Pracami o jednakowej wartości są prace, których wykonywanie wymaga od pracowników porównywalnych kwalifikacji zawodowych, potwierdzonych odpowiednimi dokumentami lub praktyką i doświadczeniem zawodowym, a także porównywalnej odpowiedzialności i wysiłku.</w:t>
      </w:r>
    </w:p>
    <w:p w14:paraId="53D34E4C" w14:textId="2A290B4C"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Pamiętaj! Praca w sytuacji, gdy dwoje pracowników jest zatrudnionych na stanowisku o takiej samej nazwie, ale jedno z nich zarządza również zespołem, który mu podlega, a drugi pracownik jest samodzielnym specjalistą, nie jest jednakową pracą.</w:t>
      </w:r>
    </w:p>
    <w:p w14:paraId="10AEE67C" w14:textId="03A32FB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Wynagrodzenie obejmuje wszystkie składniki wynagrodzenia bez względu na ich nazwę i charakter, a także inne świadczenia związane z pracą, przyznawane pracownikom w formie pieniężnej lub w innej formie niż pieniężna.</w:t>
      </w:r>
    </w:p>
    <w:p w14:paraId="6F8D8A7C" w14:textId="266A2F70"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Nagrody są zatem częścią wynagrodzenia w świetle przepisów dotyczących zakazu dyskryminacji, choć należy pamiętać, że w odróżnieniu od premii mają charakter uznaniowy.</w:t>
      </w:r>
    </w:p>
    <w:p w14:paraId="2406A438" w14:textId="77777777" w:rsidR="00371E15" w:rsidRPr="007A66CF" w:rsidRDefault="00371E15" w:rsidP="007A66CF">
      <w:pPr>
        <w:spacing w:after="0" w:line="240" w:lineRule="auto"/>
        <w:rPr>
          <w:rFonts w:ascii="Calibri" w:hAnsi="Calibri" w:cs="Calibri"/>
          <w:b/>
          <w:bCs/>
          <w:sz w:val="23"/>
          <w:szCs w:val="23"/>
        </w:rPr>
      </w:pPr>
      <w:r w:rsidRPr="007A66CF">
        <w:rPr>
          <w:rFonts w:ascii="Calibri" w:hAnsi="Calibri" w:cs="Calibri"/>
          <w:b/>
          <w:bCs/>
          <w:sz w:val="23"/>
          <w:szCs w:val="23"/>
        </w:rPr>
        <w:t>Obowiązki pracodawcy i roszczenia pracownika</w:t>
      </w:r>
    </w:p>
    <w:p w14:paraId="2DD6C4D9"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xml:space="preserve">Zgodnie z przepisami podstawowym obowiązkiem pracodawcy jest przeciwdziałać dyskryminacji w zatrudnieniu. W gestii pracodawcy leży również taka organizacja pracy w firmie, żeby nie </w:t>
      </w:r>
      <w:r w:rsidRPr="007A66CF">
        <w:rPr>
          <w:rFonts w:ascii="Calibri" w:hAnsi="Calibri" w:cs="Calibri"/>
          <w:sz w:val="23"/>
          <w:szCs w:val="23"/>
        </w:rPr>
        <w:lastRenderedPageBreak/>
        <w:t>dochodziło w niej do nierównego traktowania pracowników, molestowania czy molestowania seksualnego.</w:t>
      </w:r>
    </w:p>
    <w:p w14:paraId="234A7DC5" w14:textId="77777777" w:rsidR="00371E15" w:rsidRPr="007A66CF" w:rsidRDefault="00371E15" w:rsidP="007A66CF">
      <w:pPr>
        <w:spacing w:after="0" w:line="240" w:lineRule="auto"/>
        <w:rPr>
          <w:rFonts w:ascii="Calibri" w:hAnsi="Calibri" w:cs="Calibri"/>
          <w:sz w:val="23"/>
          <w:szCs w:val="23"/>
        </w:rPr>
      </w:pPr>
    </w:p>
    <w:p w14:paraId="35414A6D" w14:textId="52AA98C1"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W celu uniknięcia w firmach zjawisk, które mogą zostać uznane za praktyki dyskryminacyjne, pracodawcy mogą:</w:t>
      </w:r>
    </w:p>
    <w:p w14:paraId="037448EA" w14:textId="405C14AC"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wprowadzić procedury antydyskryminacyjne, które będą w szczególności:</w:t>
      </w:r>
    </w:p>
    <w:p w14:paraId="1F1DF720" w14:textId="24DF7F95"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zawierać wyjaśnienie podstawowych pojęć dotyczących nierównego traktowania, dyskryminacji, molestowania i molestowania seksualnego</w:t>
      </w:r>
    </w:p>
    <w:p w14:paraId="5B9E505A" w14:textId="62166C18"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przedstawiać możliwości zgłoszenia tych zachowań</w:t>
      </w:r>
    </w:p>
    <w:p w14:paraId="637D82B5" w14:textId="0B383DC1"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ustalać sposób postępowania pracodawcy od czasu otrzymania zgłoszenia</w:t>
      </w:r>
    </w:p>
    <w:p w14:paraId="610C36D0" w14:textId="0165B3FE"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 określać stopień poufności działań i możliwe rozstrzygnięcia postępowania</w:t>
      </w:r>
    </w:p>
    <w:p w14:paraId="2C9FBA55" w14:textId="27893B22"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powołać pełnomocnika do spraw przeciwdziałania dyskryminacji, czyli osobę, do której mogą zgłaszać się pracownicy lub inne osoby uważające, że spotkała je dyskryminacja bądź inne niepożądane zachowanie w zakładzie pracy</w:t>
      </w:r>
    </w:p>
    <w:p w14:paraId="06BC1085"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wprowadzić przejrzyste zasady wynagradzania pracowników, w ramach których umożliwią pracownikom zadawanie pytań co do decyzji pracodawcy dotyczących ustaleń w zakresie wynagrodzenia</w:t>
      </w:r>
    </w:p>
    <w:p w14:paraId="77D27649"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organizować dla pracowników szkolenia, żeby potrafili identyfikować zjawisko dyskryminacji</w:t>
      </w:r>
    </w:p>
    <w:p w14:paraId="6010C2A8"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organizować dla kadry menedżerskiej szkolenia umożliwiające zapobieganie dyskryminacji w ich zespołach.</w:t>
      </w:r>
    </w:p>
    <w:p w14:paraId="2A699879" w14:textId="56AE464A"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Jeśli którykolwiek z pracowników uprawdopodobni zarzut dyskryminacji, na pracodawcy będzie ciążył obowiązek udowodnienia, że do dyskryminacji, molestowania czy molestowania seksualnego nie doszło.</w:t>
      </w:r>
    </w:p>
    <w:p w14:paraId="38507079" w14:textId="76CB74E6"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Pracownik natomiast będzie mógł żądać od pracodawcy odszkodowania, jeśli spotka go w firmie którekolwiek z tych zachowań. Zgodnie z przepisami odszkodowanie nie powinno być niższe niż wysokość minimalnego wynagrodzenia.</w:t>
      </w:r>
    </w:p>
    <w:p w14:paraId="36E2D5AA" w14:textId="76508A98"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Jeśli pracownik zarzuca pracodawcy naruszenie przepisów dotyczących zakazu dyskryminacji i domaga się zastosowania przepisów o równym traktowaniu w zatrudnieniu, to powinien wskazać przyczynę, ze względu na którą dopuszczono się wobec niego aktu dyskryminacji, oraz okoliczności dowodzące nierównego traktowania z tej przyczyny.</w:t>
      </w:r>
    </w:p>
    <w:p w14:paraId="01A1CB9D" w14:textId="77777777"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W sporach, w których pracownik wywodzi swoje roszczenia z faktu naruszenia wobec niego zakazu dyskryminacji, powinien przedstawić przed sądem fakty uprawdopodabniające wystąpienie bezpośredniej lub pośredniej dyskryminacji, a wówczas na pracodawcę przechodzi ciężar dowodu, że przy różnicowaniu sytuacji pracowników kierował się obiektywnymi przesłankami.</w:t>
      </w:r>
    </w:p>
    <w:p w14:paraId="533AF1CB" w14:textId="370CE8E1"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Pamiętaj! Pracownik, który będzie czuł się dyskryminowany, może skierować do sądu roszczenia przeciwko pracodawcy także wtedy, gdy bezpośrednim sprawcą była inna osoba, na przykład współpracownik czy przełożony ofiary.</w:t>
      </w:r>
    </w:p>
    <w:p w14:paraId="157551D4" w14:textId="054EC4FA"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Skorzystanie przez pracownika z uprawnień przysługujących w związku z dyskryminacją, molestowaniem, molestowaniem seksualnym lub nierównym traktowaniem nie może powodować dla niego jakichkolwiek negatywnych konsekwencji. Przede wszystkim nie można pracownika z tego powodu zwolnić.</w:t>
      </w:r>
    </w:p>
    <w:p w14:paraId="77DE9181" w14:textId="39E76378"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Ta sama zasada dotyczy pracownika, który udzielił wsparcia pracownikowi pozywającemu pracodawcę, na przykład zeznawał na jego korzyść w czasie postępowania sądowego.</w:t>
      </w:r>
    </w:p>
    <w:p w14:paraId="5F4A8295" w14:textId="7CDFB25B"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t>W związku z nieprzestrzeganiem przez pracodawcę zasady równego traktowania i niedyskryminacji w pracy, kwalifikowanym jako ciężkie naruszenie obowiązków pracodawcy, pracownik może skorzystać z prawa do rozwiązania łączącej go z pracodawcą umowy o pracę w trybie natychmiastowym, tj. bez konieczności zachowania wymaganego okresu wypowiedzenia.</w:t>
      </w:r>
    </w:p>
    <w:p w14:paraId="4880644C" w14:textId="77777777" w:rsidR="00371E15" w:rsidRPr="007A66CF" w:rsidRDefault="00371E15" w:rsidP="007A66CF">
      <w:pPr>
        <w:spacing w:after="0" w:line="240" w:lineRule="auto"/>
        <w:rPr>
          <w:rFonts w:ascii="Calibri" w:hAnsi="Calibri" w:cs="Calibri"/>
          <w:b/>
          <w:bCs/>
          <w:sz w:val="23"/>
          <w:szCs w:val="23"/>
          <w:u w:val="single"/>
        </w:rPr>
      </w:pPr>
      <w:r w:rsidRPr="007A66CF">
        <w:rPr>
          <w:rFonts w:ascii="Calibri" w:hAnsi="Calibri" w:cs="Calibri"/>
          <w:b/>
          <w:bCs/>
          <w:sz w:val="23"/>
          <w:szCs w:val="23"/>
          <w:u w:val="single"/>
        </w:rPr>
        <w:t>Informacja o przepisach dotyczących równego traktowania</w:t>
      </w:r>
    </w:p>
    <w:p w14:paraId="1AF15CD7" w14:textId="00948D1B" w:rsidR="00371E15" w:rsidRPr="007A66CF" w:rsidRDefault="00371E15" w:rsidP="007A66CF">
      <w:pPr>
        <w:spacing w:after="0" w:line="240" w:lineRule="auto"/>
        <w:rPr>
          <w:rFonts w:ascii="Calibri" w:hAnsi="Calibri" w:cs="Calibri"/>
          <w:sz w:val="23"/>
          <w:szCs w:val="23"/>
        </w:rPr>
      </w:pPr>
      <w:r w:rsidRPr="007A66CF">
        <w:rPr>
          <w:rFonts w:ascii="Calibri" w:hAnsi="Calibri" w:cs="Calibri"/>
          <w:sz w:val="23"/>
          <w:szCs w:val="23"/>
        </w:rPr>
        <w:lastRenderedPageBreak/>
        <w:t xml:space="preserve">Obowiązkiem pracodawcy jest udostępnienie pracownikom przepisów dotyczących równego traktowania w zatrudnieniu w formie pisemnej informacji rozpowszechnionej na terenie zakładu pracy lub zapewnienie pracownikom dostępu do tych przepisów w inny sposób przyjęty w firmie, na przykład poprzez wywieszenie na tablicy ogłoszeń czy udostępnienie treści w </w:t>
      </w:r>
      <w:proofErr w:type="spellStart"/>
      <w:r w:rsidRPr="007A66CF">
        <w:rPr>
          <w:rFonts w:ascii="Calibri" w:hAnsi="Calibri" w:cs="Calibri"/>
          <w:sz w:val="23"/>
          <w:szCs w:val="23"/>
        </w:rPr>
        <w:t>internecie</w:t>
      </w:r>
      <w:proofErr w:type="spellEnd"/>
      <w:r w:rsidRPr="007A66CF">
        <w:rPr>
          <w:rFonts w:ascii="Calibri" w:hAnsi="Calibri" w:cs="Calibri"/>
          <w:sz w:val="23"/>
          <w:szCs w:val="23"/>
        </w:rPr>
        <w:t>.</w:t>
      </w:r>
    </w:p>
    <w:p w14:paraId="712A7990" w14:textId="77777777" w:rsidR="00F73990" w:rsidRPr="007A66CF" w:rsidRDefault="00F73990" w:rsidP="007A66CF">
      <w:pPr>
        <w:spacing w:after="0" w:line="240" w:lineRule="auto"/>
        <w:rPr>
          <w:rFonts w:ascii="Calibri" w:hAnsi="Calibri" w:cs="Calibri"/>
          <w:sz w:val="23"/>
          <w:szCs w:val="23"/>
        </w:rPr>
      </w:pPr>
    </w:p>
    <w:p w14:paraId="4AE80321" w14:textId="77777777" w:rsidR="00B9119B" w:rsidRPr="007A66CF" w:rsidRDefault="00B9119B" w:rsidP="007A66CF">
      <w:pPr>
        <w:spacing w:after="0" w:line="240" w:lineRule="auto"/>
        <w:rPr>
          <w:rFonts w:ascii="Calibri" w:hAnsi="Calibri" w:cs="Calibri"/>
          <w:b/>
          <w:bCs/>
          <w:sz w:val="23"/>
          <w:szCs w:val="23"/>
        </w:rPr>
      </w:pPr>
      <w:r w:rsidRPr="007A66CF">
        <w:rPr>
          <w:rFonts w:ascii="Calibri" w:hAnsi="Calibri" w:cs="Calibri"/>
          <w:b/>
          <w:bCs/>
          <w:sz w:val="23"/>
          <w:szCs w:val="23"/>
        </w:rPr>
        <w:t>Kiedy dziecko jest dyskryminowane – przykładowe sytuacje oraz potencjalne skutki:</w:t>
      </w:r>
    </w:p>
    <w:p w14:paraId="41CCE4ED" w14:textId="77777777" w:rsidR="00B9119B" w:rsidRPr="007A66CF" w:rsidRDefault="00B9119B" w:rsidP="007A66CF">
      <w:pPr>
        <w:spacing w:after="0" w:line="240" w:lineRule="auto"/>
        <w:rPr>
          <w:rFonts w:ascii="Calibri" w:hAnsi="Calibri" w:cs="Calibri"/>
          <w:sz w:val="23"/>
          <w:szCs w:val="23"/>
        </w:rPr>
      </w:pPr>
    </w:p>
    <w:p w14:paraId="6C772D10"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Płeć</w:t>
      </w:r>
    </w:p>
    <w:p w14:paraId="3308BE44"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1 - Nierówna reprezentacja płci</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W ogłoszeniu o rekrutacji stwierdzono, że projekt ma na celu rozwój zdolności manualnych, jednak preferowani będą chłopcy, ponieważ zajęcia będą obejmować elementy „techniczne” (np. prace z narzędziami). Dziewczynki, mimo równych predyspozycji, są wykluczane, co ogranicza ich dostęp do zajęć rozwijających kompetencje.</w:t>
      </w:r>
    </w:p>
    <w:p w14:paraId="71780F7E"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2 - Stereotypowe podejście do płci</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Dzieci zapisujące się na zajęcia sportowe w ramach projektu są przydzielane do grup według płci, mimo że dziewczynki mogą preferować zajęcia piłkarskie, a chłopcy taneczne. Wykluczanie dzieci z zajęć opartych na stereotypach płciowych zniechęca je do rozwijania swoich zainteresowań.</w:t>
      </w:r>
    </w:p>
    <w:p w14:paraId="25F737FB"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182B5E8B"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Wiek</w:t>
      </w:r>
    </w:p>
    <w:p w14:paraId="52D6C37A"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1 - Brak uwzględnienia różnic rozwojowych</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Projekt skierowany jest do dzieci w wieku 3-6 lat, ale Beneficjent w praktyce odrzuca dzieci najmłodsze (np. 3-latki), ponieważ wymagają one większej uwagi. Skutkuje to nierównym dostępem do wsparcia dla dzieci, które potencjalnie mogą najbardziej potrzebować projektu.</w:t>
      </w:r>
    </w:p>
    <w:p w14:paraId="1415F604"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2 - Arbitralne różnicowanie grup wiekowych</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Dzieci 5-letnie są preferowane w rekrutacji do projektu rozwijającego umiejętności przedszkolne, ponieważ Beneficjent uważa, że starsze dzieci łatwiej przyswoją wiedzę. W konsekwencji młodsze dzieci tracą możliwość rozwoju na równych zasadach.</w:t>
      </w:r>
    </w:p>
    <w:p w14:paraId="298BB100"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6F1213A8"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Niepełnosprawność</w:t>
      </w:r>
    </w:p>
    <w:p w14:paraId="2388F8E3"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1 - Brak dostosowania infrastruktury</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Projekt przewiduje zajęcia ruchowe, jednak Beneficjent nie uwzględnił w rekrutacji dzieci poruszających się na wózkach. Powód: brak dostępu do sali gimnastycznej przystosowanej dla osób z ograniczoną mobilnością. Oznacza to wykluczenie dzieci z niepełnosprawnościami z udziału w projekcie.</w:t>
      </w:r>
    </w:p>
    <w:p w14:paraId="58C0E2D2"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2 - Niedostosowane formy wsparcia</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Rekrutacja nie uwzględnia dzieci z trudnościami w komunikacji (np. dzieci niesłyszące), ponieważ nie przewidziano tłumacza języka migowego ani materiałów wizualnych. Dziecko zostaje odrzucone, mimo że jego rodzice są chętni zapewnić dodatkowe wsparcie.</w:t>
      </w:r>
    </w:p>
    <w:p w14:paraId="7ACA81A1"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45DBFA8B"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Rasa i pochodzenie etniczne</w:t>
      </w:r>
    </w:p>
    <w:p w14:paraId="2327867B"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1 - Izolacja dzieci z mniejszości</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W projekcie stworzono grupy, w których dzieci są dzielone według pochodzenia etnicznego „dla ich komfortu”. Takie podejście prowadzi do segregacji i uniemożliwia dzieciom integrację z rówieśnikami z różnych środowisk.</w:t>
      </w:r>
    </w:p>
    <w:p w14:paraId="3E5EEA4F"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2 - Brak wsparcia językowego</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Dziecko pochodzące z rodziny uchodźczej, które jeszcze nie mówi biegle w języku polskim, zostaje odrzucone z projektu z powodu obaw, że nie zrozumie materiału. Beneficjent nie podejmuje próby zapewnienia wsparcia, np. tłumacza.</w:t>
      </w:r>
    </w:p>
    <w:p w14:paraId="5A4FB96E"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3F899DE8"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lastRenderedPageBreak/>
        <w:t>Religia i wyznanie</w:t>
      </w:r>
    </w:p>
    <w:p w14:paraId="1D7BAB2B"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1 - Dyskryminacja w kontekście świąt religijnych</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Projekt obejmuje warsztaty związane z obchodami Świąt Bożego Narodzenia, ale dzieci wyznające inne religie lub będące niewierzące są wykluczane, ponieważ rodzice nie zgadzają się na udział w aktywnościach o charakterze religijnym.</w:t>
      </w:r>
    </w:p>
    <w:p w14:paraId="2C625AF4"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2 - Niedostosowanie programu</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Zajęcia kulinarne w projekcie przewidują wspólne pieczenie potraw, ale Beneficjent nie uwzględnił, że niektóre dzieci nie mogą spożywać określonych produktów ze względów religijnych (np. mięsa wieprzowego). W rezultacie dzieci te nie mogą uczestniczyć w zajęciach.</w:t>
      </w:r>
    </w:p>
    <w:p w14:paraId="5447FD4F"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68CDA227"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Narodowość</w:t>
      </w:r>
    </w:p>
    <w:p w14:paraId="33D2A5EF"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1 - Brak elastyczności w dokumentacji</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Dziecko, którego rodzice są obcokrajowcami, nie może zostać zapisane do projektu, ponieważ wymaga się od nich polskiego numeru PESEL, mimo że takie wymaganie nie wynika z przepisów projektu.</w:t>
      </w:r>
    </w:p>
    <w:p w14:paraId="33348DA7"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2 - Preferowanie dzieci obywateli polskich</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W materiałach rekrutacyjnych sugeruje się, że dzieci cudzoziemskie mogą nie zostać zakwalifikowane, aby „zapewnić większy udział lokalnych dzieci”.</w:t>
      </w:r>
    </w:p>
    <w:p w14:paraId="022B129E"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4975EDCC"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Orientacja seksualna (dotyczy rodziców/opiekunów)</w:t>
      </w:r>
    </w:p>
    <w:p w14:paraId="4C308001"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1 - Stygmatyzacja rodzin jednopłciowych</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Beneficjent niechętnie przyjmuje dzieci wychowywane przez pary jednopłciowe, argumentując, że „inne dzieci mogą mieć z tym problem”. Takie podejście wyklucza dzieci z równych szans na rozwój.</w:t>
      </w:r>
    </w:p>
    <w:p w14:paraId="7BAB8F7C"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2 - Publiczne komentarze lub pytania</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Podczas rekrutacji Beneficjent zadaje nieadekwatne pytania dotyczące życia prywatnego rodziców (np. o ich orientację seksualną), co może prowadzić do odrzucenia wniosku z powodów niezgodnych z zasadami równości.</w:t>
      </w:r>
    </w:p>
    <w:p w14:paraId="7FAC822D"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180AFB8D"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Przekonania polityczne i przynależność związkowa (dotyczy rodziców/opiekunów)</w:t>
      </w:r>
    </w:p>
    <w:p w14:paraId="786105CB"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1 - Faworyzowanie określonych poglądów</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Dzieci rodziców zaangażowanych w działalność polityczną krytykowaną przez Beneficjenta są ignorowane podczas procesu rekrutacyjnego.</w:t>
      </w:r>
    </w:p>
    <w:p w14:paraId="3D283814"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2 - Sugestie o ideologicznym charakterze projektu</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Beneficjent jawnie wyraża preferencje wobec dzieci pochodzących z rodzin o określonych poglądach, co prowadzi do nierówności i wykluczenia innych dzieci.</w:t>
      </w:r>
    </w:p>
    <w:p w14:paraId="4AFC3081"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47DDAB84"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Działania podjęte w celu zapobiegania dyskryminacji na etapie rekrutacji</w:t>
      </w:r>
    </w:p>
    <w:p w14:paraId="1E09BAF3" w14:textId="77777777" w:rsidR="00B9119B" w:rsidRPr="007A66CF" w:rsidRDefault="00B9119B" w:rsidP="007A66CF">
      <w:pPr>
        <w:numPr>
          <w:ilvl w:val="0"/>
          <w:numId w:val="7"/>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Stworzono transparentne procedury rekrutacyjne</w:t>
      </w:r>
      <w:r w:rsidRPr="007A66CF">
        <w:rPr>
          <w:rFonts w:ascii="Calibri" w:eastAsia="Times New Roman" w:hAnsi="Calibri" w:cs="Calibri"/>
          <w:kern w:val="0"/>
          <w:sz w:val="23"/>
          <w:szCs w:val="23"/>
          <w:lang w:eastAsia="pl-PL"/>
          <w14:ligatures w14:val="none"/>
        </w:rPr>
        <w:t>, w których jasno określono, że żadne cechy prawnie chronione nie mogą wpływać na decyzje dotyczące kwalifikacji.</w:t>
      </w:r>
    </w:p>
    <w:p w14:paraId="7655C781" w14:textId="77777777" w:rsidR="00B9119B" w:rsidRPr="007A66CF" w:rsidRDefault="00B9119B" w:rsidP="007A66CF">
      <w:pPr>
        <w:numPr>
          <w:ilvl w:val="0"/>
          <w:numId w:val="7"/>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Zapewniono równe szanse uczestnictwa</w:t>
      </w:r>
      <w:r w:rsidRPr="007A66CF">
        <w:rPr>
          <w:rFonts w:ascii="Calibri" w:eastAsia="Times New Roman" w:hAnsi="Calibri" w:cs="Calibri"/>
          <w:kern w:val="0"/>
          <w:sz w:val="23"/>
          <w:szCs w:val="23"/>
          <w:lang w:eastAsia="pl-PL"/>
          <w14:ligatures w14:val="none"/>
        </w:rPr>
        <w:t>, np. poprzez dostosowanie infrastruktury, materiałów edukacyjnych oraz zasad programu do potrzeb dzieci.</w:t>
      </w:r>
    </w:p>
    <w:p w14:paraId="53D387CA" w14:textId="77777777" w:rsidR="00B9119B" w:rsidRPr="007A66CF" w:rsidRDefault="00B9119B" w:rsidP="007A66CF">
      <w:pPr>
        <w:numPr>
          <w:ilvl w:val="0"/>
          <w:numId w:val="7"/>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Zorganizowano (zapewniono) wsparcie doradcze dla osób odpowiedzialnych za rekrutację</w:t>
      </w:r>
      <w:r w:rsidRPr="007A66CF">
        <w:rPr>
          <w:rFonts w:ascii="Calibri" w:eastAsia="Times New Roman" w:hAnsi="Calibri" w:cs="Calibri"/>
          <w:kern w:val="0"/>
          <w:sz w:val="23"/>
          <w:szCs w:val="23"/>
          <w:lang w:eastAsia="pl-PL"/>
          <w14:ligatures w14:val="none"/>
        </w:rPr>
        <w:t>, aby zrozumiały znaczenie zasad równości i niedyskryminacji.</w:t>
      </w:r>
    </w:p>
    <w:p w14:paraId="750D27D2"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14BDA285"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kern w:val="0"/>
          <w:sz w:val="23"/>
          <w:szCs w:val="23"/>
          <w:lang w:eastAsia="pl-PL"/>
          <w14:ligatures w14:val="none"/>
        </w:rPr>
        <w:t xml:space="preserve">Aby zapewnić respektowanie </w:t>
      </w:r>
      <w:r w:rsidRPr="007A66CF">
        <w:rPr>
          <w:rFonts w:ascii="Calibri" w:eastAsia="Times New Roman" w:hAnsi="Calibri" w:cs="Calibri"/>
          <w:b/>
          <w:bCs/>
          <w:kern w:val="0"/>
          <w:sz w:val="23"/>
          <w:szCs w:val="23"/>
          <w:lang w:eastAsia="pl-PL"/>
          <w14:ligatures w14:val="none"/>
        </w:rPr>
        <w:t>Zasady równości szans i niedyskryminacji</w:t>
      </w:r>
      <w:r w:rsidRPr="007A66CF">
        <w:rPr>
          <w:rFonts w:ascii="Calibri" w:eastAsia="Times New Roman" w:hAnsi="Calibri" w:cs="Calibri"/>
          <w:kern w:val="0"/>
          <w:sz w:val="23"/>
          <w:szCs w:val="23"/>
          <w:lang w:eastAsia="pl-PL"/>
          <w14:ligatures w14:val="none"/>
        </w:rPr>
        <w:t xml:space="preserve"> oraz </w:t>
      </w:r>
      <w:r w:rsidRPr="007A66CF">
        <w:rPr>
          <w:rFonts w:ascii="Calibri" w:eastAsia="Times New Roman" w:hAnsi="Calibri" w:cs="Calibri"/>
          <w:b/>
          <w:bCs/>
          <w:kern w:val="0"/>
          <w:sz w:val="23"/>
          <w:szCs w:val="23"/>
          <w:lang w:eastAsia="pl-PL"/>
          <w14:ligatures w14:val="none"/>
        </w:rPr>
        <w:t>Zasady równości kobiet i mężczyzn</w:t>
      </w:r>
      <w:r w:rsidRPr="007A66CF">
        <w:rPr>
          <w:rFonts w:ascii="Calibri" w:eastAsia="Times New Roman" w:hAnsi="Calibri" w:cs="Calibri"/>
          <w:kern w:val="0"/>
          <w:sz w:val="23"/>
          <w:szCs w:val="23"/>
          <w:lang w:eastAsia="pl-PL"/>
          <w14:ligatures w14:val="none"/>
        </w:rPr>
        <w:t>, Beneficjent projektu będzie zabiegał , aby uczestnicy projektu (dzieci) byli traktowani zgodnie z poniższymi zasadami:</w:t>
      </w:r>
    </w:p>
    <w:p w14:paraId="4A108C47"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77E24FF7"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lastRenderedPageBreak/>
        <w:t>1. Zapewnienie równości szans dostępu do projektu</w:t>
      </w:r>
    </w:p>
    <w:p w14:paraId="40229E35" w14:textId="77777777" w:rsidR="00B9119B" w:rsidRPr="007A66CF" w:rsidRDefault="00B9119B" w:rsidP="007A66CF">
      <w:pPr>
        <w:numPr>
          <w:ilvl w:val="0"/>
          <w:numId w:val="1"/>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Brak dyskryminacji</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Żadne dziecko nie będzie wykluczone lub traktowane gorzej z powodu cech takich jak płeć, wiek, niepełnosprawność, rasa, pochodzenie etniczne, narodowość, wyznanie, orientacja seksualna (dotyczy rodziców/opiekunów), przekonania polityczne rodziców, przynależność związkowa rodziców, czy status materialny.</w:t>
      </w:r>
    </w:p>
    <w:p w14:paraId="0B1C2B41" w14:textId="77777777" w:rsidR="00B9119B" w:rsidRPr="007A66CF" w:rsidRDefault="00B9119B" w:rsidP="007A66CF">
      <w:pPr>
        <w:numPr>
          <w:ilvl w:val="0"/>
          <w:numId w:val="1"/>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Równe kryteria uczestnictwa</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Kryteria rekrutacyjne są jednakowe dla wszystkich dzieci i jasne. Nie zawierają wymagań, które pośrednio faworyzują lub wykluczają dzieci z określonych grup społecznych, np. dotyczących pochodzenia czy statusu ekonomicznego.</w:t>
      </w:r>
    </w:p>
    <w:p w14:paraId="52B4017A" w14:textId="77777777" w:rsidR="00B9119B" w:rsidRPr="007A66CF" w:rsidRDefault="00B9119B" w:rsidP="007A66CF">
      <w:pPr>
        <w:numPr>
          <w:ilvl w:val="0"/>
          <w:numId w:val="1"/>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Równa reprezentacja płci</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Proces rekrutacji uwzględnia równą reprezentację dziewczynek i chłopców. Nie preferuje się żadnej płci.</w:t>
      </w:r>
    </w:p>
    <w:p w14:paraId="5EA98D3F"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299C8141"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2. Uwzględnienie indywidualnych potrzeb dzieci</w:t>
      </w:r>
    </w:p>
    <w:p w14:paraId="74176C82" w14:textId="77777777" w:rsidR="00B9119B" w:rsidRPr="007A66CF" w:rsidRDefault="00B9119B" w:rsidP="007A66CF">
      <w:pPr>
        <w:numPr>
          <w:ilvl w:val="0"/>
          <w:numId w:val="2"/>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Dostosowanie zajęć i środowiska</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Projekt jest dostępny dla wszystkich dzieci, w tym dzieci z niepełnosprawnościami, np. poprzez:</w:t>
      </w:r>
    </w:p>
    <w:p w14:paraId="41AAA585" w14:textId="77777777" w:rsidR="00B9119B" w:rsidRPr="007A66CF" w:rsidRDefault="00B9119B" w:rsidP="007A66CF">
      <w:pPr>
        <w:numPr>
          <w:ilvl w:val="1"/>
          <w:numId w:val="2"/>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kern w:val="0"/>
          <w:sz w:val="23"/>
          <w:szCs w:val="23"/>
          <w:lang w:eastAsia="pl-PL"/>
          <w14:ligatures w14:val="none"/>
        </w:rPr>
        <w:t>zapewnienie odpowiedniej infrastruktury (np. podjazdy, windy, odpowiednie meble),</w:t>
      </w:r>
    </w:p>
    <w:p w14:paraId="4A9CC78B" w14:textId="77777777" w:rsidR="00B9119B" w:rsidRPr="007A66CF" w:rsidRDefault="00B9119B" w:rsidP="007A66CF">
      <w:pPr>
        <w:numPr>
          <w:ilvl w:val="1"/>
          <w:numId w:val="2"/>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kern w:val="0"/>
          <w:sz w:val="23"/>
          <w:szCs w:val="23"/>
          <w:lang w:eastAsia="pl-PL"/>
          <w14:ligatures w14:val="none"/>
        </w:rPr>
        <w:t>wykorzystanie materiałów edukacyjnych dostosowanych do dzieci ze szczególnymi potrzebami edukacyjnymi,</w:t>
      </w:r>
    </w:p>
    <w:p w14:paraId="7B9FEC5F" w14:textId="77777777" w:rsidR="00B9119B" w:rsidRPr="007A66CF" w:rsidRDefault="00B9119B" w:rsidP="007A66CF">
      <w:pPr>
        <w:numPr>
          <w:ilvl w:val="1"/>
          <w:numId w:val="2"/>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kern w:val="0"/>
          <w:sz w:val="23"/>
          <w:szCs w:val="23"/>
          <w:lang w:eastAsia="pl-PL"/>
          <w14:ligatures w14:val="none"/>
        </w:rPr>
        <w:t>umożliwienie uczestnictwa w zajęciach dzieciom, które nie znają języka polskiego, np. dzięki wsparciu tłumacza.</w:t>
      </w:r>
    </w:p>
    <w:p w14:paraId="413BE04A" w14:textId="77777777" w:rsidR="00B9119B" w:rsidRPr="007A66CF" w:rsidRDefault="00B9119B" w:rsidP="007A66CF">
      <w:pPr>
        <w:numPr>
          <w:ilvl w:val="0"/>
          <w:numId w:val="2"/>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Zapobieganie wykluczeniu kulturowemu i religijnemu</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Dzieci z różnych kultur i religii mają możliwość udziału w projekcie bez konieczności rezygnacji z własnych tradycji czy praktyk. Program zajęć będzie neutralny światopoglądowo i uwzględnia różnorodność uczestników.</w:t>
      </w:r>
    </w:p>
    <w:p w14:paraId="31184064" w14:textId="77777777" w:rsidR="00B9119B" w:rsidRPr="007A66CF" w:rsidRDefault="00B9119B" w:rsidP="007A66CF">
      <w:pPr>
        <w:numPr>
          <w:ilvl w:val="0"/>
          <w:numId w:val="2"/>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Równe traktowanie dzieci niezależnie od statusu rodziny</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Dzieci wychowywane przez samotnych rodziców, rodziny zastępcze, rodziny wielodzietne czy rodziny jednopłciowe są traktowane na równi z innymi.</w:t>
      </w:r>
    </w:p>
    <w:p w14:paraId="0A6AF713"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449556F7"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3. Promowanie równości kobiet i mężczyzn</w:t>
      </w:r>
    </w:p>
    <w:p w14:paraId="30360B03" w14:textId="77777777" w:rsidR="00B9119B" w:rsidRPr="007A66CF" w:rsidRDefault="00B9119B" w:rsidP="007A66CF">
      <w:pPr>
        <w:numPr>
          <w:ilvl w:val="0"/>
          <w:numId w:val="3"/>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Neutralność pod względem płci w projekcie</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Materiały edukacyjne, zadania i zajęcia w ramach projektu nie zawierają stereotypów płciowych. Dziewczynki i chłopcy mają  równe możliwości udziału we wszystkich aktywnościach, niezależnie od ich charakteru (np. technicznego, sportowego, artystycznego).</w:t>
      </w:r>
    </w:p>
    <w:p w14:paraId="24513E4B" w14:textId="77777777" w:rsidR="00B9119B" w:rsidRPr="007A66CF" w:rsidRDefault="00B9119B" w:rsidP="007A66CF">
      <w:pPr>
        <w:numPr>
          <w:ilvl w:val="0"/>
          <w:numId w:val="3"/>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Edukacja równościowa</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Projekt promuje  wartości związane z równością płci, np. poprzez zajęcia, które uczą szacunku i współpracy pomiędzy dziećmi różnych płci.</w:t>
      </w:r>
    </w:p>
    <w:p w14:paraId="5BCF92AB"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453A98A4"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4. Zapewnienie bezpieczeństwa i poszanowania godności dzieci</w:t>
      </w:r>
    </w:p>
    <w:p w14:paraId="73FEA258" w14:textId="77777777" w:rsidR="00B9119B" w:rsidRPr="007A66CF" w:rsidRDefault="00B9119B" w:rsidP="007A66CF">
      <w:pPr>
        <w:numPr>
          <w:ilvl w:val="0"/>
          <w:numId w:val="4"/>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Bezpieczna i wspierająca atmosfera</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Dzieci muszą być traktowane z szacunkiem, a ich indywidualne potrzeby i cechy muszą być akceptowane przez kadrę projektu oraz inne dzieci. Dyskryminacja, przemoc, w tym werbalna, oraz jakiekolwiek przejawy nierównego traktowania muszą być bezwzględnie eliminowane.</w:t>
      </w:r>
    </w:p>
    <w:p w14:paraId="0AA6F0D9" w14:textId="77777777" w:rsidR="00B9119B" w:rsidRPr="007A66CF" w:rsidRDefault="00B9119B" w:rsidP="007A66CF">
      <w:pPr>
        <w:numPr>
          <w:ilvl w:val="0"/>
          <w:numId w:val="4"/>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lastRenderedPageBreak/>
        <w:t>Równy dostęp do uwagi i wsparcia kadry</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Wszystkie dzieci muszą mieć zapewnione wsparcie na równym poziomie, niezależnie od swojego wieku, płci, zdolności czy innych cech.</w:t>
      </w:r>
    </w:p>
    <w:p w14:paraId="41727772" w14:textId="77777777" w:rsidR="00B9119B" w:rsidRPr="007A66CF" w:rsidRDefault="00B9119B" w:rsidP="007A66CF">
      <w:pPr>
        <w:numPr>
          <w:ilvl w:val="0"/>
          <w:numId w:val="4"/>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Wrażliwość na sytuacje dyskryminacyjne</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Kadra powinna być przeszkolona w zakresie reagowania na sytuacje, które mogą prowadzić do nierównego traktowania dzieci. W przypadku stwierdzenia takiego zdarzenia należy podjąć działania naprawcze i przeciwdziałające przyszłym incydentom.</w:t>
      </w:r>
    </w:p>
    <w:p w14:paraId="5F5D163F"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112B53D1"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5. Monitorowanie i ewaluacja</w:t>
      </w:r>
    </w:p>
    <w:p w14:paraId="463B461A" w14:textId="77777777" w:rsidR="00B9119B" w:rsidRPr="007A66CF" w:rsidRDefault="00B9119B" w:rsidP="007A66CF">
      <w:pPr>
        <w:numPr>
          <w:ilvl w:val="0"/>
          <w:numId w:val="5"/>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Obserwacja realizacji zasad równości</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Należy regularnie monitorować, czy zasady równości szans i niedyskryminacji są przestrzegane w praktyce, oraz zbierać opinie rodziców/opiekunów na temat sposobu traktowania dzieci.</w:t>
      </w:r>
    </w:p>
    <w:p w14:paraId="6AFD30BB" w14:textId="77777777" w:rsidR="00B9119B" w:rsidRPr="007A66CF" w:rsidRDefault="00B9119B" w:rsidP="007A66CF">
      <w:pPr>
        <w:numPr>
          <w:ilvl w:val="0"/>
          <w:numId w:val="5"/>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Reagowanie na sygnały nierówności</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W przypadku zgłoszenia przez rodziców, opiekunów lub kadrę sytuacji potencjalnie naruszającej zasadę równości, należy podjąć szybkie działania wyjaśniające i naprawcze.</w:t>
      </w:r>
    </w:p>
    <w:p w14:paraId="0E43553F"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p>
    <w:p w14:paraId="482A0729" w14:textId="77777777" w:rsidR="00B9119B" w:rsidRPr="007A66CF" w:rsidRDefault="00B9119B" w:rsidP="007A66CF">
      <w:pPr>
        <w:spacing w:after="0" w:line="240" w:lineRule="auto"/>
        <w:outlineLvl w:val="2"/>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6. Szkolenia i świadomość personelu</w:t>
      </w:r>
    </w:p>
    <w:p w14:paraId="0F618F5B" w14:textId="77777777" w:rsidR="00B9119B" w:rsidRPr="007A66CF" w:rsidRDefault="00B9119B" w:rsidP="007A66CF">
      <w:pPr>
        <w:numPr>
          <w:ilvl w:val="0"/>
          <w:numId w:val="6"/>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Przygotowanie kadry</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Osoby zaangażowane w realizację projektu przejdą szkolenie dotyczące zasad równości szans i niedyskryminacji, aby unikać działań niezgodnych z wytycznymi oraz skutecznie wspierać wszystkich uczestników projektu.</w:t>
      </w:r>
    </w:p>
    <w:p w14:paraId="2CC55945" w14:textId="77777777" w:rsidR="00B9119B" w:rsidRPr="007A66CF" w:rsidRDefault="00B9119B" w:rsidP="007A66CF">
      <w:pPr>
        <w:numPr>
          <w:ilvl w:val="0"/>
          <w:numId w:val="6"/>
        </w:num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Podnoszenie świadomości rodziców i dzieci</w:t>
      </w:r>
      <w:r w:rsidRPr="007A66CF">
        <w:rPr>
          <w:rFonts w:ascii="Calibri" w:eastAsia="Times New Roman" w:hAnsi="Calibri" w:cs="Calibri"/>
          <w:kern w:val="0"/>
          <w:sz w:val="23"/>
          <w:szCs w:val="23"/>
          <w:lang w:eastAsia="pl-PL"/>
          <w14:ligatures w14:val="none"/>
        </w:rPr>
        <w:t>:</w:t>
      </w:r>
      <w:r w:rsidRPr="007A66CF">
        <w:rPr>
          <w:rFonts w:ascii="Calibri" w:eastAsia="Times New Roman" w:hAnsi="Calibri" w:cs="Calibri"/>
          <w:kern w:val="0"/>
          <w:sz w:val="23"/>
          <w:szCs w:val="23"/>
          <w:lang w:eastAsia="pl-PL"/>
          <w14:ligatures w14:val="none"/>
        </w:rPr>
        <w:br/>
        <w:t>W ramach projektu można organizować spotkania i warsztaty promujące wartości równości, szacunku oraz akceptacji różnorodności.</w:t>
      </w:r>
    </w:p>
    <w:p w14:paraId="29FE8349" w14:textId="77777777" w:rsidR="00B9119B" w:rsidRPr="007A66CF" w:rsidRDefault="00B9119B"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kern w:val="0"/>
          <w:sz w:val="23"/>
          <w:szCs w:val="23"/>
          <w:lang w:eastAsia="pl-PL"/>
          <w14:ligatures w14:val="none"/>
        </w:rPr>
        <w:t>Przestrzeganie powyższych zasad pozwala na stworzenie środowiska, które wspiera rozwój dzieci w duchu równości i integracji. Zasady te powinny być nie tylko wdrożone w dokumentach projektu, ale również aktywnie realizowane przez wszystkich uczestników projektu w praktyce, co pozwoli uniknąć potencjalnych naruszeń praw pozostałych uczestników.</w:t>
      </w:r>
    </w:p>
    <w:p w14:paraId="23FF4B7B" w14:textId="77777777" w:rsidR="00B9119B" w:rsidRPr="007A66CF" w:rsidRDefault="00B9119B" w:rsidP="007A66CF">
      <w:pPr>
        <w:spacing w:after="0" w:line="240" w:lineRule="auto"/>
        <w:rPr>
          <w:rFonts w:ascii="Calibri" w:hAnsi="Calibri" w:cs="Calibri"/>
          <w:sz w:val="23"/>
          <w:szCs w:val="23"/>
        </w:rPr>
      </w:pPr>
    </w:p>
    <w:p w14:paraId="579F4356" w14:textId="327411A6" w:rsidR="00B9119B" w:rsidRPr="007A66CF" w:rsidRDefault="00B9119B" w:rsidP="007A66CF">
      <w:pPr>
        <w:spacing w:after="0" w:line="240" w:lineRule="auto"/>
        <w:rPr>
          <w:rFonts w:ascii="Calibri" w:hAnsi="Calibri" w:cs="Calibri"/>
          <w:b/>
          <w:bCs/>
          <w:sz w:val="23"/>
          <w:szCs w:val="23"/>
        </w:rPr>
      </w:pPr>
      <w:r w:rsidRPr="007A66CF">
        <w:rPr>
          <w:rFonts w:ascii="Calibri" w:hAnsi="Calibri" w:cs="Calibri"/>
          <w:b/>
          <w:bCs/>
          <w:sz w:val="23"/>
          <w:szCs w:val="23"/>
        </w:rPr>
        <w:t>Kiedy rodzic/opiekun dzienny dzieck</w:t>
      </w:r>
      <w:r w:rsidR="008A5078" w:rsidRPr="007A66CF">
        <w:rPr>
          <w:rFonts w:ascii="Calibri" w:hAnsi="Calibri" w:cs="Calibri"/>
          <w:b/>
          <w:bCs/>
          <w:sz w:val="23"/>
          <w:szCs w:val="23"/>
        </w:rPr>
        <w:t>a</w:t>
      </w:r>
      <w:r w:rsidRPr="007A66CF">
        <w:rPr>
          <w:rFonts w:ascii="Calibri" w:hAnsi="Calibri" w:cs="Calibri"/>
          <w:b/>
          <w:bCs/>
          <w:sz w:val="23"/>
          <w:szCs w:val="23"/>
        </w:rPr>
        <w:t xml:space="preserve"> jest dyskryminowan</w:t>
      </w:r>
      <w:r w:rsidR="008A5078" w:rsidRPr="007A66CF">
        <w:rPr>
          <w:rFonts w:ascii="Calibri" w:hAnsi="Calibri" w:cs="Calibri"/>
          <w:b/>
          <w:bCs/>
          <w:sz w:val="23"/>
          <w:szCs w:val="23"/>
        </w:rPr>
        <w:t>y</w:t>
      </w:r>
      <w:r w:rsidRPr="007A66CF">
        <w:rPr>
          <w:rFonts w:ascii="Calibri" w:hAnsi="Calibri" w:cs="Calibri"/>
          <w:b/>
          <w:bCs/>
          <w:sz w:val="23"/>
          <w:szCs w:val="23"/>
        </w:rPr>
        <w:t xml:space="preserve"> – przykładowe sytuacje oraz potencjalne skutki:</w:t>
      </w:r>
    </w:p>
    <w:p w14:paraId="214A956B" w14:textId="77777777" w:rsidR="00D539D3" w:rsidRPr="007A66CF" w:rsidRDefault="00D539D3" w:rsidP="007A66CF">
      <w:pPr>
        <w:spacing w:after="0" w:line="240" w:lineRule="auto"/>
        <w:rPr>
          <w:rFonts w:ascii="Calibri" w:hAnsi="Calibri" w:cs="Calibri"/>
          <w:sz w:val="23"/>
          <w:szCs w:val="23"/>
        </w:rPr>
      </w:pPr>
    </w:p>
    <w:p w14:paraId="4552EA89" w14:textId="77777777" w:rsidR="00D539D3" w:rsidRPr="007A66CF" w:rsidRDefault="00D539D3" w:rsidP="007A66CF">
      <w:pPr>
        <w:spacing w:after="0" w:line="240" w:lineRule="auto"/>
        <w:outlineLvl w:val="3"/>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Płeć</w:t>
      </w:r>
    </w:p>
    <w:p w14:paraId="18FC5A3F"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1 - Preferowanie matek nad ojcami:</w:t>
      </w:r>
      <w:r w:rsidRPr="007A66CF">
        <w:rPr>
          <w:rFonts w:ascii="Calibri" w:eastAsia="Times New Roman" w:hAnsi="Calibri" w:cs="Calibri"/>
          <w:kern w:val="0"/>
          <w:sz w:val="23"/>
          <w:szCs w:val="23"/>
          <w:lang w:eastAsia="pl-PL"/>
          <w14:ligatures w14:val="none"/>
        </w:rPr>
        <w:br/>
        <w:t>Podczas rekrutacji podkreślane jest, że projekt skierowany jest głównie do matek, co może zniechęcić ojców do aplikowania. Taki przekaz utrwala stereotyp, że wychowanie dzieci jest wyłącznie domeną kobiet.</w:t>
      </w:r>
    </w:p>
    <w:p w14:paraId="241ED983"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2 - Zakładanie stereotypowych ról:</w:t>
      </w:r>
      <w:r w:rsidRPr="007A66CF">
        <w:rPr>
          <w:rFonts w:ascii="Calibri" w:eastAsia="Times New Roman" w:hAnsi="Calibri" w:cs="Calibri"/>
          <w:kern w:val="0"/>
          <w:sz w:val="23"/>
          <w:szCs w:val="23"/>
          <w:lang w:eastAsia="pl-PL"/>
          <w14:ligatures w14:val="none"/>
        </w:rPr>
        <w:br/>
        <w:t>Organizowanie warsztatów kulinarnych skierowanych wyłącznie do kobiet, podczas gdy zajęcia techniczne czy sportowe przeznaczone są dla mężczyzn, co ogranicza możliwość wyboru dla rodziców/opiekunów prawnych niezależnie od ich płci.</w:t>
      </w:r>
    </w:p>
    <w:p w14:paraId="4E8B3A06"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3 - Używanie języka wykluczającego:</w:t>
      </w:r>
      <w:r w:rsidRPr="007A66CF">
        <w:rPr>
          <w:rFonts w:ascii="Calibri" w:eastAsia="Times New Roman" w:hAnsi="Calibri" w:cs="Calibri"/>
          <w:kern w:val="0"/>
          <w:sz w:val="23"/>
          <w:szCs w:val="23"/>
          <w:lang w:eastAsia="pl-PL"/>
          <w14:ligatures w14:val="none"/>
        </w:rPr>
        <w:br/>
        <w:t>W materiałach rekrutacyjnych używane są zwroty wyłącznie w rodzaju żeńskim, np. „Matki dzieci w wieku przedszkolnym zapraszamy do udziału”, co wyklucza ojców lub innych opiekunów.</w:t>
      </w:r>
    </w:p>
    <w:p w14:paraId="4E3DE44D"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p>
    <w:p w14:paraId="376C3BEF" w14:textId="77777777" w:rsidR="00D539D3" w:rsidRPr="007A66CF" w:rsidRDefault="00D539D3" w:rsidP="007A66CF">
      <w:pPr>
        <w:spacing w:after="0" w:line="240" w:lineRule="auto"/>
        <w:outlineLvl w:val="3"/>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Wiek</w:t>
      </w:r>
    </w:p>
    <w:p w14:paraId="4E44111F"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lastRenderedPageBreak/>
        <w:t>Przykład 1 - Wykluczanie młodszych rodziców/opiekunów prawnych:</w:t>
      </w:r>
      <w:r w:rsidRPr="007A66CF">
        <w:rPr>
          <w:rFonts w:ascii="Calibri" w:eastAsia="Times New Roman" w:hAnsi="Calibri" w:cs="Calibri"/>
          <w:kern w:val="0"/>
          <w:sz w:val="23"/>
          <w:szCs w:val="23"/>
          <w:lang w:eastAsia="pl-PL"/>
          <w14:ligatures w14:val="none"/>
        </w:rPr>
        <w:br/>
        <w:t>Projekt wprowadza wymóg minimalnego wieku rodzica (np. 25 lat), ignorując sytuację młodych rodziców, którzy również mogą potrzebować wsparcia.</w:t>
      </w:r>
    </w:p>
    <w:p w14:paraId="2451AF2D"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2 - Brak uwzględnienia starszych rodziców/opiekunów prawnych:</w:t>
      </w:r>
      <w:r w:rsidRPr="007A66CF">
        <w:rPr>
          <w:rFonts w:ascii="Calibri" w:eastAsia="Times New Roman" w:hAnsi="Calibri" w:cs="Calibri"/>
          <w:kern w:val="0"/>
          <w:sz w:val="23"/>
          <w:szCs w:val="23"/>
          <w:lang w:eastAsia="pl-PL"/>
          <w14:ligatures w14:val="none"/>
        </w:rPr>
        <w:br/>
        <w:t>Beneficjent zakłada, że starsi rodzice, np. po 40. roku życia, nie są „typowymi uczestnikami” projektu i nie dostosowują formy zajęć do ich potrzeb.</w:t>
      </w:r>
    </w:p>
    <w:p w14:paraId="6CBA0DD0"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3 - Ignorowanie różnorodnych ścieżek rodzicielstwa:</w:t>
      </w:r>
      <w:r w:rsidRPr="007A66CF">
        <w:rPr>
          <w:rFonts w:ascii="Calibri" w:eastAsia="Times New Roman" w:hAnsi="Calibri" w:cs="Calibri"/>
          <w:kern w:val="0"/>
          <w:sz w:val="23"/>
          <w:szCs w:val="23"/>
          <w:lang w:eastAsia="pl-PL"/>
          <w14:ligatures w14:val="none"/>
        </w:rPr>
        <w:br/>
        <w:t>Rodzice adopcyjni czy zastępczy mogą być wykluczeni, jeśli ich wiek znacząco odbiega od średniej.</w:t>
      </w:r>
    </w:p>
    <w:p w14:paraId="3A84D122"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p>
    <w:p w14:paraId="38B0D4CE" w14:textId="77777777" w:rsidR="00D539D3" w:rsidRPr="007A66CF" w:rsidRDefault="00D539D3" w:rsidP="007A66CF">
      <w:pPr>
        <w:spacing w:after="0" w:line="240" w:lineRule="auto"/>
        <w:outlineLvl w:val="3"/>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Niepełnosprawność</w:t>
      </w:r>
    </w:p>
    <w:p w14:paraId="72E0C092"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1 - Brak dostępności fizycznej:</w:t>
      </w:r>
      <w:r w:rsidRPr="007A66CF">
        <w:rPr>
          <w:rFonts w:ascii="Calibri" w:eastAsia="Times New Roman" w:hAnsi="Calibri" w:cs="Calibri"/>
          <w:kern w:val="0"/>
          <w:sz w:val="23"/>
          <w:szCs w:val="23"/>
          <w:lang w:eastAsia="pl-PL"/>
          <w14:ligatures w14:val="none"/>
        </w:rPr>
        <w:br/>
        <w:t>Rekrutacja odbywa się w budynku, do którego prowadzą jedynie schody, uniemożliwiając dostęp rodzicom z niepełnosprawnością ruchową.</w:t>
      </w:r>
    </w:p>
    <w:p w14:paraId="334883CC"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2 - Brak materiałów w dostępnych formatach:</w:t>
      </w:r>
      <w:r w:rsidRPr="007A66CF">
        <w:rPr>
          <w:rFonts w:ascii="Calibri" w:eastAsia="Times New Roman" w:hAnsi="Calibri" w:cs="Calibri"/>
          <w:kern w:val="0"/>
          <w:sz w:val="23"/>
          <w:szCs w:val="23"/>
          <w:lang w:eastAsia="pl-PL"/>
          <w14:ligatures w14:val="none"/>
        </w:rPr>
        <w:br/>
        <w:t>Osoby niewidome lub niedowidzące nie mogą zapoznać się z dokumentacją rekrutacyjną, ponieważ materiały są wyłącznie w formacie drukowanym, bez wersji audio lub tekstu w brajlu.</w:t>
      </w:r>
    </w:p>
    <w:p w14:paraId="7FF4EC2B"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3 - Brak zrozumienia dla potrzeb opiekunów z niepełnosprawnościami:</w:t>
      </w:r>
      <w:r w:rsidRPr="007A66CF">
        <w:rPr>
          <w:rFonts w:ascii="Calibri" w:eastAsia="Times New Roman" w:hAnsi="Calibri" w:cs="Calibri"/>
          <w:kern w:val="0"/>
          <w:sz w:val="23"/>
          <w:szCs w:val="23"/>
          <w:lang w:eastAsia="pl-PL"/>
          <w14:ligatures w14:val="none"/>
        </w:rPr>
        <w:br/>
        <w:t>Założenie, że rodzice z niepełnosprawnościami nie będą zainteresowani udziałem w projekcie, co skutkuje brakiem działań informacyjnych skierowanych do tej grupy.</w:t>
      </w:r>
    </w:p>
    <w:p w14:paraId="72151D43"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p>
    <w:p w14:paraId="2F10860E" w14:textId="77777777" w:rsidR="00D539D3" w:rsidRPr="007A66CF" w:rsidRDefault="00D539D3" w:rsidP="007A66CF">
      <w:pPr>
        <w:spacing w:after="0" w:line="240" w:lineRule="auto"/>
        <w:outlineLvl w:val="3"/>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Rasa i pochodzenie etniczne</w:t>
      </w:r>
    </w:p>
    <w:p w14:paraId="27F3A486"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1 - Niedostosowanie językowe:</w:t>
      </w:r>
      <w:r w:rsidRPr="007A66CF">
        <w:rPr>
          <w:rFonts w:ascii="Calibri" w:eastAsia="Times New Roman" w:hAnsi="Calibri" w:cs="Calibri"/>
          <w:kern w:val="0"/>
          <w:sz w:val="23"/>
          <w:szCs w:val="23"/>
          <w:lang w:eastAsia="pl-PL"/>
          <w14:ligatures w14:val="none"/>
        </w:rPr>
        <w:br/>
        <w:t>Formularze i materiały informacyjne dostępne są wyłącznie w języku polskim, co wyklucza rodziców, którzy nie posługują się nim płynnie.</w:t>
      </w:r>
    </w:p>
    <w:p w14:paraId="48FB6F90"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2 - Uprzedzenia wobec obcokrajowców:</w:t>
      </w:r>
      <w:r w:rsidRPr="007A66CF">
        <w:rPr>
          <w:rFonts w:ascii="Calibri" w:eastAsia="Times New Roman" w:hAnsi="Calibri" w:cs="Calibri"/>
          <w:kern w:val="0"/>
          <w:sz w:val="23"/>
          <w:szCs w:val="23"/>
          <w:lang w:eastAsia="pl-PL"/>
          <w14:ligatures w14:val="none"/>
        </w:rPr>
        <w:br/>
        <w:t>Beneficjent faworyzuje rodziców polskiego pochodzenia, argumentując, że „obcokrajowcy mogą mieć trudności z integracją w projekcie”.</w:t>
      </w:r>
    </w:p>
    <w:p w14:paraId="70F3BAB4"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3 - Pomijanie różnorodności kulturowej:</w:t>
      </w:r>
      <w:r w:rsidRPr="007A66CF">
        <w:rPr>
          <w:rFonts w:ascii="Calibri" w:eastAsia="Times New Roman" w:hAnsi="Calibri" w:cs="Calibri"/>
          <w:kern w:val="0"/>
          <w:sz w:val="23"/>
          <w:szCs w:val="23"/>
          <w:lang w:eastAsia="pl-PL"/>
          <w14:ligatures w14:val="none"/>
        </w:rPr>
        <w:br/>
        <w:t>Brak uwzględnienia w harmonogramie zajęć ważnych świąt czy praktyk kulturowych (np. Ramadan), co może wykluczyć rodziców wyznających inne religie lub tradycje.</w:t>
      </w:r>
    </w:p>
    <w:p w14:paraId="514E91F6"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p>
    <w:p w14:paraId="4E426CE6" w14:textId="77777777" w:rsidR="00D539D3" w:rsidRPr="007A66CF" w:rsidRDefault="00D539D3" w:rsidP="007A66CF">
      <w:pPr>
        <w:spacing w:after="0" w:line="240" w:lineRule="auto"/>
        <w:outlineLvl w:val="3"/>
        <w:rPr>
          <w:rFonts w:ascii="Calibri" w:eastAsia="Times New Roman" w:hAnsi="Calibri" w:cs="Calibri"/>
          <w:b/>
          <w:bCs/>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Religia i wyznanie</w:t>
      </w:r>
    </w:p>
    <w:p w14:paraId="655887EC"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1 - Organizowanie zajęć w dniach świąt religijnych:</w:t>
      </w:r>
      <w:r w:rsidRPr="007A66CF">
        <w:rPr>
          <w:rFonts w:ascii="Calibri" w:eastAsia="Times New Roman" w:hAnsi="Calibri" w:cs="Calibri"/>
          <w:kern w:val="0"/>
          <w:sz w:val="23"/>
          <w:szCs w:val="23"/>
          <w:lang w:eastAsia="pl-PL"/>
          <w14:ligatures w14:val="none"/>
        </w:rPr>
        <w:br/>
        <w:t>Harmonogram zajęć pokrywa się z dniami obchodów świąt wyznaniowych (np. prawosławna Wielkanoc), co uniemożliwia uczestnictwo rodziców wyznających inne religie niż dominująca.</w:t>
      </w:r>
    </w:p>
    <w:p w14:paraId="106356CF"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2 - Brak poszanowania światopoglądu:</w:t>
      </w:r>
      <w:r w:rsidRPr="007A66CF">
        <w:rPr>
          <w:rFonts w:ascii="Calibri" w:eastAsia="Times New Roman" w:hAnsi="Calibri" w:cs="Calibri"/>
          <w:kern w:val="0"/>
          <w:sz w:val="23"/>
          <w:szCs w:val="23"/>
          <w:lang w:eastAsia="pl-PL"/>
          <w14:ligatures w14:val="none"/>
        </w:rPr>
        <w:br/>
        <w:t>Treści promowane w projekcie mogą narzucać określony światopogląd, co wyklucza osoby o innych przekonaniach, np. ateistów czy agnostyków.</w:t>
      </w:r>
    </w:p>
    <w:p w14:paraId="4E05F028" w14:textId="77777777" w:rsidR="00D539D3" w:rsidRPr="007A66CF" w:rsidRDefault="00D539D3" w:rsidP="007A66CF">
      <w:pPr>
        <w:spacing w:after="0" w:line="240" w:lineRule="auto"/>
        <w:rPr>
          <w:rFonts w:ascii="Calibri" w:eastAsia="Times New Roman" w:hAnsi="Calibri" w:cs="Calibri"/>
          <w:kern w:val="0"/>
          <w:sz w:val="23"/>
          <w:szCs w:val="23"/>
          <w:lang w:eastAsia="pl-PL"/>
          <w14:ligatures w14:val="none"/>
        </w:rPr>
      </w:pPr>
      <w:r w:rsidRPr="007A66CF">
        <w:rPr>
          <w:rFonts w:ascii="Calibri" w:eastAsia="Times New Roman" w:hAnsi="Calibri" w:cs="Calibri"/>
          <w:b/>
          <w:bCs/>
          <w:kern w:val="0"/>
          <w:sz w:val="23"/>
          <w:szCs w:val="23"/>
          <w:lang w:eastAsia="pl-PL"/>
          <w14:ligatures w14:val="none"/>
        </w:rPr>
        <w:t>Przykład 3 - Wymóg deklaracji wyznania:</w:t>
      </w:r>
      <w:r w:rsidRPr="007A66CF">
        <w:rPr>
          <w:rFonts w:ascii="Calibri" w:eastAsia="Times New Roman" w:hAnsi="Calibri" w:cs="Calibri"/>
          <w:kern w:val="0"/>
          <w:sz w:val="23"/>
          <w:szCs w:val="23"/>
          <w:lang w:eastAsia="pl-PL"/>
          <w14:ligatures w14:val="none"/>
        </w:rPr>
        <w:br/>
        <w:t>Formularz rekrutacyjny zawiera pytanie o przynależność religijną, które jest zbędne i może skutkować dyskryminacją na podstawie odpowiedzi.</w:t>
      </w:r>
    </w:p>
    <w:p w14:paraId="71C5F737" w14:textId="77777777" w:rsidR="00D539D3" w:rsidRPr="007A66CF" w:rsidRDefault="00D539D3" w:rsidP="007A66CF">
      <w:pPr>
        <w:spacing w:after="0" w:line="240" w:lineRule="auto"/>
        <w:rPr>
          <w:rFonts w:ascii="Calibri" w:hAnsi="Calibri" w:cs="Calibri"/>
          <w:sz w:val="23"/>
          <w:szCs w:val="23"/>
        </w:rPr>
      </w:pPr>
    </w:p>
    <w:p w14:paraId="52A9F356" w14:textId="77777777" w:rsidR="00D539D3" w:rsidRPr="007A66CF" w:rsidRDefault="00D539D3" w:rsidP="007A66CF">
      <w:pPr>
        <w:pStyle w:val="Nagwek4"/>
        <w:spacing w:before="0" w:after="0" w:line="240" w:lineRule="auto"/>
        <w:rPr>
          <w:rFonts w:ascii="Calibri" w:hAnsi="Calibri" w:cs="Calibri"/>
          <w:i w:val="0"/>
          <w:iCs w:val="0"/>
          <w:color w:val="auto"/>
          <w:sz w:val="23"/>
          <w:szCs w:val="23"/>
        </w:rPr>
      </w:pPr>
      <w:r w:rsidRPr="007A66CF">
        <w:rPr>
          <w:rStyle w:val="Pogrubienie"/>
          <w:rFonts w:ascii="Calibri" w:hAnsi="Calibri" w:cs="Calibri"/>
          <w:i w:val="0"/>
          <w:iCs w:val="0"/>
          <w:color w:val="auto"/>
          <w:sz w:val="23"/>
          <w:szCs w:val="23"/>
        </w:rPr>
        <w:t>Orientacja seksualna lub struktura rodziny</w:t>
      </w:r>
    </w:p>
    <w:p w14:paraId="5CE91BE8" w14:textId="77777777" w:rsidR="00D539D3" w:rsidRPr="007A66CF" w:rsidRDefault="00D539D3" w:rsidP="007A66CF">
      <w:pPr>
        <w:pStyle w:val="NormalnyWeb"/>
        <w:spacing w:before="0" w:beforeAutospacing="0" w:after="0" w:afterAutospacing="0"/>
        <w:rPr>
          <w:rFonts w:ascii="Calibri" w:hAnsi="Calibri" w:cs="Calibri"/>
          <w:sz w:val="23"/>
          <w:szCs w:val="23"/>
        </w:rPr>
      </w:pPr>
      <w:r w:rsidRPr="007A66CF">
        <w:rPr>
          <w:rFonts w:ascii="Calibri" w:hAnsi="Calibri" w:cs="Calibri"/>
          <w:b/>
          <w:bCs/>
          <w:sz w:val="23"/>
          <w:szCs w:val="23"/>
        </w:rPr>
        <w:t xml:space="preserve">Przykład 1 - </w:t>
      </w:r>
      <w:r w:rsidRPr="007A66CF">
        <w:rPr>
          <w:rStyle w:val="Pogrubienie"/>
          <w:rFonts w:ascii="Calibri" w:eastAsiaTheme="majorEastAsia" w:hAnsi="Calibri" w:cs="Calibri"/>
          <w:sz w:val="23"/>
          <w:szCs w:val="23"/>
        </w:rPr>
        <w:t>Wykluczanie rodzin jednopłciowych:</w:t>
      </w:r>
      <w:r w:rsidRPr="007A66CF">
        <w:rPr>
          <w:rFonts w:ascii="Calibri" w:hAnsi="Calibri" w:cs="Calibri"/>
          <w:sz w:val="23"/>
          <w:szCs w:val="23"/>
        </w:rPr>
        <w:br/>
        <w:t>W dokumentach rekrutacyjnych zawarte są pytania dotyczące matki i ojca dziecka, bez możliwości wpisania innych struktur rodzinnych (np. dwie matki).</w:t>
      </w:r>
    </w:p>
    <w:p w14:paraId="75E0822C" w14:textId="77777777" w:rsidR="00D539D3" w:rsidRPr="007A66CF" w:rsidRDefault="00D539D3" w:rsidP="007A66CF">
      <w:pPr>
        <w:pStyle w:val="NormalnyWeb"/>
        <w:spacing w:before="0" w:beforeAutospacing="0" w:after="0" w:afterAutospacing="0"/>
        <w:rPr>
          <w:rFonts w:ascii="Calibri" w:hAnsi="Calibri" w:cs="Calibri"/>
          <w:sz w:val="23"/>
          <w:szCs w:val="23"/>
        </w:rPr>
      </w:pPr>
      <w:r w:rsidRPr="007A66CF">
        <w:rPr>
          <w:rFonts w:ascii="Calibri" w:hAnsi="Calibri" w:cs="Calibri"/>
          <w:b/>
          <w:bCs/>
          <w:sz w:val="23"/>
          <w:szCs w:val="23"/>
        </w:rPr>
        <w:lastRenderedPageBreak/>
        <w:t xml:space="preserve">Przykład 2 - </w:t>
      </w:r>
      <w:r w:rsidRPr="007A66CF">
        <w:rPr>
          <w:rStyle w:val="Pogrubienie"/>
          <w:rFonts w:ascii="Calibri" w:eastAsiaTheme="majorEastAsia" w:hAnsi="Calibri" w:cs="Calibri"/>
          <w:sz w:val="23"/>
          <w:szCs w:val="23"/>
        </w:rPr>
        <w:t>Faworyzowanie tradycyjnego modelu rodziny:</w:t>
      </w:r>
      <w:r w:rsidRPr="007A66CF">
        <w:rPr>
          <w:rFonts w:ascii="Calibri" w:hAnsi="Calibri" w:cs="Calibri"/>
          <w:sz w:val="23"/>
          <w:szCs w:val="23"/>
        </w:rPr>
        <w:br/>
        <w:t>W regulaminie projektu wskazuje się, że preferowani są uczestnicy z „pełnych rodzin” (rodzice biologiczni), co wyklucza rodziny zastępcze, adopcyjne lub jednopłciowe.</w:t>
      </w:r>
    </w:p>
    <w:p w14:paraId="24055891" w14:textId="77777777" w:rsidR="00D539D3" w:rsidRPr="007A66CF" w:rsidRDefault="00D539D3" w:rsidP="007A66CF">
      <w:pPr>
        <w:spacing w:after="0" w:line="240" w:lineRule="auto"/>
        <w:rPr>
          <w:rFonts w:ascii="Calibri" w:hAnsi="Calibri" w:cs="Calibri"/>
          <w:sz w:val="23"/>
          <w:szCs w:val="23"/>
        </w:rPr>
      </w:pPr>
    </w:p>
    <w:p w14:paraId="7C237E0D" w14:textId="77777777" w:rsidR="00D539D3" w:rsidRPr="007A66CF" w:rsidRDefault="00D539D3" w:rsidP="007A66CF">
      <w:pPr>
        <w:pStyle w:val="Nagwek4"/>
        <w:spacing w:before="0" w:after="0" w:line="240" w:lineRule="auto"/>
        <w:rPr>
          <w:rFonts w:ascii="Calibri" w:hAnsi="Calibri" w:cs="Calibri"/>
          <w:i w:val="0"/>
          <w:iCs w:val="0"/>
          <w:color w:val="auto"/>
          <w:sz w:val="23"/>
          <w:szCs w:val="23"/>
        </w:rPr>
      </w:pPr>
      <w:r w:rsidRPr="007A66CF">
        <w:rPr>
          <w:rStyle w:val="Pogrubienie"/>
          <w:rFonts w:ascii="Calibri" w:hAnsi="Calibri" w:cs="Calibri"/>
          <w:i w:val="0"/>
          <w:iCs w:val="0"/>
          <w:color w:val="auto"/>
          <w:sz w:val="23"/>
          <w:szCs w:val="23"/>
        </w:rPr>
        <w:t>Przekonania polityczne lub przynależność związkową</w:t>
      </w:r>
    </w:p>
    <w:p w14:paraId="78A7AE95" w14:textId="77777777" w:rsidR="00D539D3" w:rsidRPr="007A66CF" w:rsidRDefault="00D539D3" w:rsidP="007A66CF">
      <w:pPr>
        <w:pStyle w:val="NormalnyWeb"/>
        <w:spacing w:before="0" w:beforeAutospacing="0" w:after="0" w:afterAutospacing="0"/>
        <w:rPr>
          <w:rFonts w:ascii="Calibri" w:hAnsi="Calibri" w:cs="Calibri"/>
          <w:sz w:val="23"/>
          <w:szCs w:val="23"/>
        </w:rPr>
      </w:pPr>
      <w:r w:rsidRPr="007A66CF">
        <w:rPr>
          <w:rFonts w:ascii="Calibri" w:hAnsi="Calibri" w:cs="Calibri"/>
          <w:b/>
          <w:bCs/>
          <w:sz w:val="23"/>
          <w:szCs w:val="23"/>
        </w:rPr>
        <w:t xml:space="preserve">Przykład 1 - </w:t>
      </w:r>
      <w:r w:rsidRPr="007A66CF">
        <w:rPr>
          <w:rStyle w:val="Pogrubienie"/>
          <w:rFonts w:ascii="Calibri" w:eastAsiaTheme="majorEastAsia" w:hAnsi="Calibri" w:cs="Calibri"/>
          <w:sz w:val="23"/>
          <w:szCs w:val="23"/>
        </w:rPr>
        <w:t>Wykluczenie rodziców/opiekunów prawnych z aktywnych grup społecznych:</w:t>
      </w:r>
      <w:r w:rsidRPr="007A66CF">
        <w:rPr>
          <w:rFonts w:ascii="Calibri" w:hAnsi="Calibri" w:cs="Calibri"/>
          <w:sz w:val="23"/>
          <w:szCs w:val="23"/>
        </w:rPr>
        <w:br/>
        <w:t>Rodzice zaangażowani w działalność związkową lub organizacje pozarządowe mogą być postrzegani jako „problemowi” i eliminowani z rekrutacji.</w:t>
      </w:r>
    </w:p>
    <w:p w14:paraId="53E17FB1" w14:textId="77777777" w:rsidR="00D539D3" w:rsidRPr="007A66CF" w:rsidRDefault="00D539D3" w:rsidP="007A66CF">
      <w:pPr>
        <w:pStyle w:val="NormalnyWeb"/>
        <w:spacing w:before="0" w:beforeAutospacing="0" w:after="0" w:afterAutospacing="0"/>
        <w:rPr>
          <w:rFonts w:ascii="Calibri" w:hAnsi="Calibri" w:cs="Calibri"/>
          <w:sz w:val="23"/>
          <w:szCs w:val="23"/>
        </w:rPr>
      </w:pPr>
      <w:r w:rsidRPr="007A66CF">
        <w:rPr>
          <w:rFonts w:ascii="Calibri" w:hAnsi="Calibri" w:cs="Calibri"/>
          <w:b/>
          <w:bCs/>
          <w:sz w:val="23"/>
          <w:szCs w:val="23"/>
        </w:rPr>
        <w:t xml:space="preserve">Przykład 2 - </w:t>
      </w:r>
      <w:r w:rsidRPr="007A66CF">
        <w:rPr>
          <w:rStyle w:val="Pogrubienie"/>
          <w:rFonts w:ascii="Calibri" w:eastAsiaTheme="majorEastAsia" w:hAnsi="Calibri" w:cs="Calibri"/>
          <w:sz w:val="23"/>
          <w:szCs w:val="23"/>
        </w:rPr>
        <w:t>Ograniczenia dotyczące wolności wypowiedzi:</w:t>
      </w:r>
      <w:r w:rsidRPr="007A66CF">
        <w:rPr>
          <w:rFonts w:ascii="Calibri" w:hAnsi="Calibri" w:cs="Calibri"/>
          <w:sz w:val="23"/>
          <w:szCs w:val="23"/>
        </w:rPr>
        <w:br/>
        <w:t>Kryteria wykluczające rodziców, którzy publicznie wyrażają poglądy polityczne, choć nie mają one wpływu na realizację projektu.</w:t>
      </w:r>
    </w:p>
    <w:p w14:paraId="0CEC82FE" w14:textId="77777777" w:rsidR="00D539D3" w:rsidRPr="007A66CF" w:rsidRDefault="00D539D3" w:rsidP="007A66CF">
      <w:pPr>
        <w:spacing w:after="0" w:line="240" w:lineRule="auto"/>
        <w:rPr>
          <w:rFonts w:ascii="Calibri" w:hAnsi="Calibri" w:cs="Calibri"/>
          <w:sz w:val="23"/>
          <w:szCs w:val="23"/>
        </w:rPr>
      </w:pPr>
    </w:p>
    <w:p w14:paraId="686A0E02" w14:textId="77777777" w:rsidR="00D539D3" w:rsidRPr="007A66CF" w:rsidRDefault="00D539D3" w:rsidP="007A66CF">
      <w:pPr>
        <w:pStyle w:val="Nagwek3"/>
        <w:spacing w:before="0" w:after="0" w:line="240" w:lineRule="auto"/>
        <w:rPr>
          <w:rFonts w:ascii="Calibri" w:hAnsi="Calibri" w:cs="Calibri"/>
          <w:b/>
          <w:color w:val="auto"/>
          <w:sz w:val="23"/>
          <w:szCs w:val="23"/>
        </w:rPr>
      </w:pPr>
      <w:r w:rsidRPr="007A66CF">
        <w:rPr>
          <w:rStyle w:val="Pogrubienie"/>
          <w:rFonts w:ascii="Calibri" w:hAnsi="Calibri" w:cs="Calibri"/>
          <w:color w:val="auto"/>
          <w:sz w:val="23"/>
          <w:szCs w:val="23"/>
        </w:rPr>
        <w:t>Zasady dotyczące traktowania rekrutowanych rodziców</w:t>
      </w:r>
      <w:r w:rsidRPr="007A66CF">
        <w:rPr>
          <w:rStyle w:val="Pogrubienie"/>
          <w:rFonts w:ascii="Calibri" w:hAnsi="Calibri" w:cs="Calibri"/>
          <w:bCs w:val="0"/>
          <w:color w:val="auto"/>
          <w:sz w:val="23"/>
          <w:szCs w:val="23"/>
        </w:rPr>
        <w:t>/opiekunów prawnych</w:t>
      </w:r>
      <w:r w:rsidRPr="007A66CF">
        <w:rPr>
          <w:rStyle w:val="Pogrubienie"/>
          <w:rFonts w:ascii="Calibri" w:hAnsi="Calibri" w:cs="Calibri"/>
          <w:color w:val="auto"/>
          <w:sz w:val="23"/>
          <w:szCs w:val="23"/>
        </w:rPr>
        <w:t xml:space="preserve"> dzieci w wieku przedszkolnym w projekcie</w:t>
      </w:r>
    </w:p>
    <w:p w14:paraId="47A8445C" w14:textId="77777777" w:rsidR="00D539D3" w:rsidRPr="007A66CF" w:rsidRDefault="00D539D3" w:rsidP="007A66CF">
      <w:pPr>
        <w:spacing w:after="0" w:line="240" w:lineRule="auto"/>
        <w:rPr>
          <w:rFonts w:ascii="Calibri" w:hAnsi="Calibri" w:cs="Calibri"/>
          <w:sz w:val="23"/>
          <w:szCs w:val="23"/>
        </w:rPr>
      </w:pPr>
    </w:p>
    <w:p w14:paraId="1D534AE6" w14:textId="77777777" w:rsidR="00D539D3" w:rsidRPr="007A66CF" w:rsidRDefault="00D539D3" w:rsidP="007A66CF">
      <w:pPr>
        <w:pStyle w:val="Nagwek4"/>
        <w:spacing w:before="0" w:after="0" w:line="240" w:lineRule="auto"/>
        <w:rPr>
          <w:rFonts w:ascii="Calibri" w:hAnsi="Calibri" w:cs="Calibri"/>
          <w:i w:val="0"/>
          <w:iCs w:val="0"/>
          <w:color w:val="auto"/>
          <w:sz w:val="23"/>
          <w:szCs w:val="23"/>
        </w:rPr>
      </w:pPr>
      <w:r w:rsidRPr="007A66CF">
        <w:rPr>
          <w:rStyle w:val="Pogrubienie"/>
          <w:rFonts w:ascii="Calibri" w:hAnsi="Calibri" w:cs="Calibri"/>
          <w:i w:val="0"/>
          <w:iCs w:val="0"/>
          <w:color w:val="auto"/>
          <w:sz w:val="23"/>
          <w:szCs w:val="23"/>
        </w:rPr>
        <w:t>I. Ogólne zasady rekrutacji i traktowania rekrutowanych rodziców/opiekunów prawnych</w:t>
      </w:r>
    </w:p>
    <w:p w14:paraId="1F6D2C5A" w14:textId="77777777" w:rsidR="00D539D3" w:rsidRPr="007A66CF" w:rsidRDefault="00D539D3" w:rsidP="007A66CF">
      <w:pPr>
        <w:pStyle w:val="NormalnyWeb"/>
        <w:numPr>
          <w:ilvl w:val="0"/>
          <w:numId w:val="8"/>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Równe traktowanie wszystkich rodziców/opiekunów prawnych:</w:t>
      </w:r>
      <w:r w:rsidRPr="007A66CF">
        <w:rPr>
          <w:rFonts w:ascii="Calibri" w:hAnsi="Calibri" w:cs="Calibri"/>
          <w:sz w:val="23"/>
          <w:szCs w:val="23"/>
        </w:rPr>
        <w:br/>
        <w:t>Każdy rodzic ma prawo do równego traktowania w procesie rekrutacji, niezależnie od płci, wieku, niepełnosprawności, rasy, narodowości, pochodzenia etnicznego, wyznania, światopoglądu, orientacji seksualnej, przekonań politycznych, przynależności związkowej, statusu materialnego czy miejsca zamieszkania.</w:t>
      </w:r>
    </w:p>
    <w:p w14:paraId="3A4B4785" w14:textId="77777777" w:rsidR="00D539D3" w:rsidRPr="007A66CF" w:rsidRDefault="00D539D3" w:rsidP="007A66CF">
      <w:pPr>
        <w:pStyle w:val="NormalnyWeb"/>
        <w:numPr>
          <w:ilvl w:val="0"/>
          <w:numId w:val="8"/>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Transparentność procesu rekrutacji:</w:t>
      </w:r>
      <w:r w:rsidRPr="007A66CF">
        <w:rPr>
          <w:rFonts w:ascii="Calibri" w:hAnsi="Calibri" w:cs="Calibri"/>
          <w:sz w:val="23"/>
          <w:szCs w:val="23"/>
        </w:rPr>
        <w:br/>
        <w:t>Kryteria i procedury rekrutacji są jasno określone, publicznie dostępne i zrozumiałe dla wszystkich rodziców potencjalnie zainteresowanych projektem.</w:t>
      </w:r>
    </w:p>
    <w:p w14:paraId="75039673" w14:textId="77777777" w:rsidR="00D539D3" w:rsidRPr="007A66CF" w:rsidRDefault="00D539D3" w:rsidP="007A66CF">
      <w:pPr>
        <w:pStyle w:val="NormalnyWeb"/>
        <w:numPr>
          <w:ilvl w:val="0"/>
          <w:numId w:val="8"/>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Zapewnienie dostępności informacji:</w:t>
      </w:r>
      <w:r w:rsidRPr="007A66CF">
        <w:rPr>
          <w:rFonts w:ascii="Calibri" w:hAnsi="Calibri" w:cs="Calibri"/>
          <w:sz w:val="23"/>
          <w:szCs w:val="23"/>
        </w:rPr>
        <w:br/>
        <w:t>Informacje o projekcie, w tym o zasadach rekrutacji, są udostępnione w formatach dostosowanych do różnych potrzeb rodziców, takich jak:</w:t>
      </w:r>
    </w:p>
    <w:p w14:paraId="25AFB184" w14:textId="77777777" w:rsidR="00D539D3" w:rsidRPr="007A66CF" w:rsidRDefault="00D539D3" w:rsidP="007A66CF">
      <w:pPr>
        <w:numPr>
          <w:ilvl w:val="1"/>
          <w:numId w:val="8"/>
        </w:numPr>
        <w:spacing w:after="0" w:line="240" w:lineRule="auto"/>
        <w:rPr>
          <w:rFonts w:ascii="Calibri" w:hAnsi="Calibri" w:cs="Calibri"/>
          <w:sz w:val="23"/>
          <w:szCs w:val="23"/>
        </w:rPr>
      </w:pPr>
      <w:r w:rsidRPr="007A66CF">
        <w:rPr>
          <w:rFonts w:ascii="Calibri" w:hAnsi="Calibri" w:cs="Calibri"/>
          <w:sz w:val="23"/>
          <w:szCs w:val="23"/>
        </w:rPr>
        <w:t>Wersje cyfrowe i drukowane,</w:t>
      </w:r>
    </w:p>
    <w:p w14:paraId="6039D29E" w14:textId="77777777" w:rsidR="00D539D3" w:rsidRPr="007A66CF" w:rsidRDefault="00D539D3" w:rsidP="007A66CF">
      <w:pPr>
        <w:numPr>
          <w:ilvl w:val="1"/>
          <w:numId w:val="8"/>
        </w:numPr>
        <w:spacing w:after="0" w:line="240" w:lineRule="auto"/>
        <w:rPr>
          <w:rFonts w:ascii="Calibri" w:hAnsi="Calibri" w:cs="Calibri"/>
          <w:sz w:val="23"/>
          <w:szCs w:val="23"/>
        </w:rPr>
      </w:pPr>
      <w:r w:rsidRPr="007A66CF">
        <w:rPr>
          <w:rFonts w:ascii="Calibri" w:hAnsi="Calibri" w:cs="Calibri"/>
          <w:sz w:val="23"/>
          <w:szCs w:val="23"/>
        </w:rPr>
        <w:t>Materiały dla osób z niepełnosprawnościami (przekaz dostosowany do specyfiki grupy docelowej)</w:t>
      </w:r>
    </w:p>
    <w:p w14:paraId="2551E40C" w14:textId="77777777" w:rsidR="00D539D3" w:rsidRPr="007A66CF" w:rsidRDefault="00D539D3" w:rsidP="007A66CF">
      <w:pPr>
        <w:pStyle w:val="NormalnyWeb"/>
        <w:numPr>
          <w:ilvl w:val="0"/>
          <w:numId w:val="8"/>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Dostosowanie warunków rekrutacji do różnych potrzeb rodziców/opiekunów prawnych:</w:t>
      </w:r>
      <w:r w:rsidRPr="007A66CF">
        <w:rPr>
          <w:rFonts w:ascii="Calibri" w:hAnsi="Calibri" w:cs="Calibri"/>
          <w:sz w:val="23"/>
          <w:szCs w:val="23"/>
        </w:rPr>
        <w:br/>
        <w:t>Beneficjent uwzględni specyfikę sytuacji rodziców, takich jak samotne wychowywanie dziecka, wychowywanie dzieci z niepełnosprawnościami czy rodziny wielodzietne, dostosowując harmonogram działań i miejsce rekrutacji.</w:t>
      </w:r>
    </w:p>
    <w:p w14:paraId="7718B152" w14:textId="78994A05" w:rsidR="00D539D3" w:rsidRPr="007A66CF" w:rsidRDefault="00D539D3" w:rsidP="007A66CF">
      <w:pPr>
        <w:pStyle w:val="NormalnyWeb"/>
        <w:numPr>
          <w:ilvl w:val="0"/>
          <w:numId w:val="8"/>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Poszanowanie prywatności rodziców/opiekunów prawnych:</w:t>
      </w:r>
      <w:r w:rsidRPr="007A66CF">
        <w:rPr>
          <w:rFonts w:ascii="Calibri" w:hAnsi="Calibri" w:cs="Calibri"/>
          <w:sz w:val="23"/>
          <w:szCs w:val="23"/>
        </w:rPr>
        <w:br/>
        <w:t>Dane osobowe rodziców będą przetwarzane zgodnie z przepisami RODO. Formularze rekrutacyjne unikają zbędnych pytań, które mogą prowadzić do dyskryminacji (np. dotyczących wyznania czy orientacji seksualnej).</w:t>
      </w:r>
    </w:p>
    <w:p w14:paraId="09579CB1" w14:textId="77777777" w:rsidR="00D539D3" w:rsidRPr="007A66CF" w:rsidRDefault="00D539D3" w:rsidP="007A66CF">
      <w:pPr>
        <w:pStyle w:val="Nagwek4"/>
        <w:spacing w:before="0" w:after="0" w:line="240" w:lineRule="auto"/>
        <w:rPr>
          <w:rFonts w:ascii="Calibri" w:hAnsi="Calibri" w:cs="Calibri"/>
          <w:i w:val="0"/>
          <w:iCs w:val="0"/>
          <w:color w:val="auto"/>
          <w:sz w:val="23"/>
          <w:szCs w:val="23"/>
        </w:rPr>
      </w:pPr>
      <w:r w:rsidRPr="007A66CF">
        <w:rPr>
          <w:rStyle w:val="Pogrubienie"/>
          <w:rFonts w:ascii="Calibri" w:hAnsi="Calibri" w:cs="Calibri"/>
          <w:i w:val="0"/>
          <w:iCs w:val="0"/>
          <w:color w:val="auto"/>
          <w:sz w:val="23"/>
          <w:szCs w:val="23"/>
        </w:rPr>
        <w:t>II. Zasada równości kobiet i mężczyzn w odniesieniu do rodziców/opiekunów prawnych</w:t>
      </w:r>
    </w:p>
    <w:p w14:paraId="0122D632" w14:textId="77777777" w:rsidR="00D539D3" w:rsidRPr="007A66CF" w:rsidRDefault="00D539D3" w:rsidP="007A66CF">
      <w:pPr>
        <w:pStyle w:val="NormalnyWeb"/>
        <w:numPr>
          <w:ilvl w:val="0"/>
          <w:numId w:val="9"/>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Równy dostęp rodziców/opiekunów prawnych do udziału w projekcie:</w:t>
      </w:r>
      <w:r w:rsidRPr="007A66CF">
        <w:rPr>
          <w:rFonts w:ascii="Calibri" w:hAnsi="Calibri" w:cs="Calibri"/>
          <w:sz w:val="23"/>
          <w:szCs w:val="23"/>
        </w:rPr>
        <w:br/>
        <w:t>Rekrutacja nie faworyzuje matek nad ojcami ani odwrotnie. Rodzice obu płci mają równe szanse na udział w projekcie, niezależnie od ich sytuacji zawodowej czy rodzinnej.</w:t>
      </w:r>
    </w:p>
    <w:p w14:paraId="307FEFDE" w14:textId="77777777" w:rsidR="00D539D3" w:rsidRPr="007A66CF" w:rsidRDefault="00D539D3" w:rsidP="007A66CF">
      <w:pPr>
        <w:pStyle w:val="NormalnyWeb"/>
        <w:numPr>
          <w:ilvl w:val="0"/>
          <w:numId w:val="9"/>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Unikanie stereotypów płciowych:</w:t>
      </w:r>
      <w:r w:rsidRPr="007A66CF">
        <w:rPr>
          <w:rFonts w:ascii="Calibri" w:hAnsi="Calibri" w:cs="Calibri"/>
          <w:sz w:val="23"/>
          <w:szCs w:val="23"/>
        </w:rPr>
        <w:br/>
        <w:t>Materiały informacyjne i działania promocyjne projektu unikają stereotypowego przedstawiania rodziców, np. przypisywania matek do roli opiekunek, a ojców do roli „pracujących żywicieli rodziny”.</w:t>
      </w:r>
    </w:p>
    <w:p w14:paraId="3721D7DD" w14:textId="77777777" w:rsidR="00D539D3" w:rsidRPr="007A66CF" w:rsidRDefault="00D539D3" w:rsidP="007A66CF">
      <w:pPr>
        <w:pStyle w:val="NormalnyWeb"/>
        <w:numPr>
          <w:ilvl w:val="0"/>
          <w:numId w:val="9"/>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Promowanie zaangażowania ojców:</w:t>
      </w:r>
      <w:r w:rsidRPr="007A66CF">
        <w:rPr>
          <w:rFonts w:ascii="Calibri" w:hAnsi="Calibri" w:cs="Calibri"/>
          <w:sz w:val="23"/>
          <w:szCs w:val="23"/>
        </w:rPr>
        <w:br/>
        <w:t xml:space="preserve">Beneficjent podejmuje działania zachęcające ojców do aktywnego udziału w projekcie, </w:t>
      </w:r>
      <w:r w:rsidRPr="007A66CF">
        <w:rPr>
          <w:rFonts w:ascii="Calibri" w:hAnsi="Calibri" w:cs="Calibri"/>
          <w:sz w:val="23"/>
          <w:szCs w:val="23"/>
        </w:rPr>
        <w:lastRenderedPageBreak/>
        <w:t>aby przeciwdziałać stereotypom związanym z wychowaniem dzieci jako głównie kobiecą rolą.</w:t>
      </w:r>
    </w:p>
    <w:p w14:paraId="7BAF3685" w14:textId="1B704E1D" w:rsidR="00D539D3" w:rsidRPr="007A66CF" w:rsidRDefault="00D539D3" w:rsidP="007A66CF">
      <w:pPr>
        <w:pStyle w:val="NormalnyWeb"/>
        <w:numPr>
          <w:ilvl w:val="0"/>
          <w:numId w:val="9"/>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Równy dostęp do wszystkich form wsparcia:</w:t>
      </w:r>
      <w:r w:rsidRPr="007A66CF">
        <w:rPr>
          <w:rFonts w:ascii="Calibri" w:hAnsi="Calibri" w:cs="Calibri"/>
          <w:sz w:val="23"/>
          <w:szCs w:val="23"/>
        </w:rPr>
        <w:br/>
        <w:t>Wszelkie działania projektowe są otwarte zarówno dla matek, jak i ojców, bez wykluczania żadnej grupy na podstawie płci.</w:t>
      </w:r>
    </w:p>
    <w:p w14:paraId="0BCB83FB" w14:textId="77777777" w:rsidR="00D539D3" w:rsidRPr="007A66CF" w:rsidRDefault="00D539D3" w:rsidP="007A66CF">
      <w:pPr>
        <w:pStyle w:val="Nagwek4"/>
        <w:spacing w:before="0" w:after="0" w:line="240" w:lineRule="auto"/>
        <w:rPr>
          <w:rFonts w:ascii="Calibri" w:hAnsi="Calibri" w:cs="Calibri"/>
          <w:i w:val="0"/>
          <w:iCs w:val="0"/>
          <w:color w:val="auto"/>
          <w:sz w:val="23"/>
          <w:szCs w:val="23"/>
        </w:rPr>
      </w:pPr>
      <w:r w:rsidRPr="007A66CF">
        <w:rPr>
          <w:rStyle w:val="Pogrubienie"/>
          <w:rFonts w:ascii="Calibri" w:hAnsi="Calibri" w:cs="Calibri"/>
          <w:i w:val="0"/>
          <w:iCs w:val="0"/>
          <w:color w:val="auto"/>
          <w:sz w:val="23"/>
          <w:szCs w:val="23"/>
        </w:rPr>
        <w:t>III. Zasada dostępności i niedyskryminacji wobec rodziców/opiekunów prawnych</w:t>
      </w:r>
    </w:p>
    <w:p w14:paraId="1992EACF" w14:textId="77777777" w:rsidR="00D539D3" w:rsidRPr="007A66CF" w:rsidRDefault="00D539D3" w:rsidP="007A66CF">
      <w:pPr>
        <w:pStyle w:val="NormalnyWeb"/>
        <w:numPr>
          <w:ilvl w:val="0"/>
          <w:numId w:val="10"/>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Zapewnienie dostępności fizycznej i komunikacyjnej:</w:t>
      </w:r>
    </w:p>
    <w:p w14:paraId="3446CAA3" w14:textId="77777777" w:rsidR="00D539D3" w:rsidRPr="007A66CF" w:rsidRDefault="00D539D3" w:rsidP="007A66CF">
      <w:pPr>
        <w:numPr>
          <w:ilvl w:val="1"/>
          <w:numId w:val="10"/>
        </w:numPr>
        <w:spacing w:after="0" w:line="240" w:lineRule="auto"/>
        <w:rPr>
          <w:rFonts w:ascii="Calibri" w:hAnsi="Calibri" w:cs="Calibri"/>
          <w:sz w:val="23"/>
          <w:szCs w:val="23"/>
        </w:rPr>
      </w:pPr>
      <w:r w:rsidRPr="007A66CF">
        <w:rPr>
          <w:rFonts w:ascii="Calibri" w:hAnsi="Calibri" w:cs="Calibri"/>
          <w:sz w:val="23"/>
          <w:szCs w:val="23"/>
        </w:rPr>
        <w:t>Miejsca rekrutacji oraz realizacji działań projektowych są dostępne dla rodziców z niepełnosprawnościami, np. poprzez brak barier architektonicznych, zapewnienie tłumacza języka migowego czy dostosowanie transportu.</w:t>
      </w:r>
    </w:p>
    <w:p w14:paraId="1AD894FA" w14:textId="77777777" w:rsidR="00D539D3" w:rsidRPr="007A66CF" w:rsidRDefault="00D539D3" w:rsidP="007A66CF">
      <w:pPr>
        <w:numPr>
          <w:ilvl w:val="1"/>
          <w:numId w:val="10"/>
        </w:numPr>
        <w:spacing w:after="0" w:line="240" w:lineRule="auto"/>
        <w:rPr>
          <w:rFonts w:ascii="Calibri" w:hAnsi="Calibri" w:cs="Calibri"/>
          <w:sz w:val="23"/>
          <w:szCs w:val="23"/>
        </w:rPr>
      </w:pPr>
      <w:r w:rsidRPr="007A66CF">
        <w:rPr>
          <w:rFonts w:ascii="Calibri" w:hAnsi="Calibri" w:cs="Calibri"/>
          <w:sz w:val="23"/>
          <w:szCs w:val="23"/>
        </w:rPr>
        <w:t>Informacje o projekcie są udostępniane w formatach dostępnych dla osób z różnymi niepełnosprawnościami (przekaz dostosowany do specyfiki grupy docelowej).</w:t>
      </w:r>
    </w:p>
    <w:p w14:paraId="01D7F26C" w14:textId="77777777" w:rsidR="00D539D3" w:rsidRPr="007A66CF" w:rsidRDefault="00D539D3" w:rsidP="007A66CF">
      <w:pPr>
        <w:pStyle w:val="NormalnyWeb"/>
        <w:numPr>
          <w:ilvl w:val="0"/>
          <w:numId w:val="10"/>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Uwzględnienie różnorodności kulturowej i religijnej:</w:t>
      </w:r>
    </w:p>
    <w:p w14:paraId="547BC42B" w14:textId="77777777" w:rsidR="00D539D3" w:rsidRPr="007A66CF" w:rsidRDefault="00D539D3" w:rsidP="007A66CF">
      <w:pPr>
        <w:numPr>
          <w:ilvl w:val="1"/>
          <w:numId w:val="10"/>
        </w:numPr>
        <w:spacing w:after="0" w:line="240" w:lineRule="auto"/>
        <w:rPr>
          <w:rFonts w:ascii="Calibri" w:hAnsi="Calibri" w:cs="Calibri"/>
          <w:sz w:val="23"/>
          <w:szCs w:val="23"/>
        </w:rPr>
      </w:pPr>
      <w:r w:rsidRPr="007A66CF">
        <w:rPr>
          <w:rFonts w:ascii="Calibri" w:hAnsi="Calibri" w:cs="Calibri"/>
          <w:sz w:val="23"/>
          <w:szCs w:val="23"/>
        </w:rPr>
        <w:t>Wszelkie działania rekrutacyjne oraz harmonogram form wsparcia w projekcie uwzględniają różnorodność kulturową i religijną rodziców, np. unikanie organizowania spotkań w dni ważnych świąt religijnych innych wyznań.</w:t>
      </w:r>
    </w:p>
    <w:p w14:paraId="3F99953D" w14:textId="37D216C2" w:rsidR="00D539D3" w:rsidRPr="007A66CF" w:rsidRDefault="00D539D3" w:rsidP="007A66CF">
      <w:pPr>
        <w:numPr>
          <w:ilvl w:val="1"/>
          <w:numId w:val="10"/>
        </w:numPr>
        <w:spacing w:after="0" w:line="240" w:lineRule="auto"/>
        <w:rPr>
          <w:rFonts w:ascii="Calibri" w:hAnsi="Calibri" w:cs="Calibri"/>
          <w:sz w:val="23"/>
          <w:szCs w:val="23"/>
        </w:rPr>
      </w:pPr>
      <w:r w:rsidRPr="007A66CF">
        <w:rPr>
          <w:rFonts w:ascii="Calibri" w:hAnsi="Calibri" w:cs="Calibri"/>
          <w:sz w:val="23"/>
          <w:szCs w:val="23"/>
        </w:rPr>
        <w:t>Beneficjent uwzględnia różne potrzeby rodziców wynikające z ich tradycji i zwyczajów, promując wzajemny szacunek i otwartość.</w:t>
      </w:r>
    </w:p>
    <w:p w14:paraId="01FF2C57" w14:textId="77777777" w:rsidR="00D539D3" w:rsidRPr="007A66CF" w:rsidRDefault="00D539D3" w:rsidP="007A66CF">
      <w:pPr>
        <w:pStyle w:val="Nagwek4"/>
        <w:spacing w:before="0" w:after="0" w:line="240" w:lineRule="auto"/>
        <w:rPr>
          <w:rFonts w:ascii="Calibri" w:hAnsi="Calibri" w:cs="Calibri"/>
          <w:i w:val="0"/>
          <w:iCs w:val="0"/>
          <w:color w:val="auto"/>
          <w:sz w:val="23"/>
          <w:szCs w:val="23"/>
        </w:rPr>
      </w:pPr>
      <w:r w:rsidRPr="007A66CF">
        <w:rPr>
          <w:rStyle w:val="Pogrubienie"/>
          <w:rFonts w:ascii="Calibri" w:hAnsi="Calibri" w:cs="Calibri"/>
          <w:i w:val="0"/>
          <w:iCs w:val="0"/>
          <w:color w:val="auto"/>
          <w:sz w:val="23"/>
          <w:szCs w:val="23"/>
        </w:rPr>
        <w:t>IV. Ułatwienia dla rodziców/opiekunów prawnych w trudnej sytuacji</w:t>
      </w:r>
    </w:p>
    <w:p w14:paraId="3554BDA7" w14:textId="77777777" w:rsidR="00D539D3" w:rsidRPr="007A66CF" w:rsidRDefault="00D539D3" w:rsidP="007A66CF">
      <w:pPr>
        <w:pStyle w:val="NormalnyWeb"/>
        <w:numPr>
          <w:ilvl w:val="0"/>
          <w:numId w:val="11"/>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Wsparcie dla rodziców/opiekunów prawnych samotnie wychowujących dzieci:</w:t>
      </w:r>
      <w:r w:rsidRPr="007A66CF">
        <w:rPr>
          <w:rFonts w:ascii="Calibri" w:hAnsi="Calibri" w:cs="Calibri"/>
          <w:sz w:val="23"/>
          <w:szCs w:val="23"/>
        </w:rPr>
        <w:br/>
        <w:t>Harmonogram form wsparcia w projekcie uwzględnia ich sytuację, np. oferując elastyczne godziny spotkań, opiekę nad dziećmi w trakcie działań projektowych lub możliwość uczestnictwa online.</w:t>
      </w:r>
    </w:p>
    <w:p w14:paraId="0870B1B3" w14:textId="29EC53A8" w:rsidR="00D539D3" w:rsidRPr="007A66CF" w:rsidRDefault="00D539D3" w:rsidP="007A66CF">
      <w:pPr>
        <w:pStyle w:val="NormalnyWeb"/>
        <w:numPr>
          <w:ilvl w:val="0"/>
          <w:numId w:val="11"/>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Włączenie rodzin jednopłciowych i niestandardowych:</w:t>
      </w:r>
      <w:r w:rsidRPr="007A66CF">
        <w:rPr>
          <w:rFonts w:ascii="Calibri" w:hAnsi="Calibri" w:cs="Calibri"/>
          <w:sz w:val="23"/>
          <w:szCs w:val="23"/>
        </w:rPr>
        <w:br/>
        <w:t>Projekt jest otwarty na wszystkie struktury rodzinne, w tym rodziny jednopłciowe, zastępcze, adopcyjne czy patchworkowe, bez wprowadzania kryteriów wykluczających.</w:t>
      </w:r>
    </w:p>
    <w:p w14:paraId="665DD5AD" w14:textId="77777777" w:rsidR="00D539D3" w:rsidRPr="007A66CF" w:rsidRDefault="00D539D3" w:rsidP="007A66CF">
      <w:pPr>
        <w:pStyle w:val="Nagwek4"/>
        <w:spacing w:before="0" w:after="0" w:line="240" w:lineRule="auto"/>
        <w:rPr>
          <w:rFonts w:ascii="Calibri" w:hAnsi="Calibri" w:cs="Calibri"/>
          <w:i w:val="0"/>
          <w:iCs w:val="0"/>
          <w:color w:val="auto"/>
          <w:sz w:val="23"/>
          <w:szCs w:val="23"/>
        </w:rPr>
      </w:pPr>
      <w:r w:rsidRPr="007A66CF">
        <w:rPr>
          <w:rStyle w:val="Pogrubienie"/>
          <w:rFonts w:ascii="Calibri" w:hAnsi="Calibri" w:cs="Calibri"/>
          <w:i w:val="0"/>
          <w:iCs w:val="0"/>
          <w:color w:val="auto"/>
          <w:sz w:val="23"/>
          <w:szCs w:val="23"/>
        </w:rPr>
        <w:t>V. Reagowanie na przypadki dyskryminacji i promowanie równości</w:t>
      </w:r>
    </w:p>
    <w:p w14:paraId="38DB29C9" w14:textId="77777777" w:rsidR="00D539D3" w:rsidRPr="007A66CF" w:rsidRDefault="00D539D3" w:rsidP="007A66CF">
      <w:pPr>
        <w:pStyle w:val="NormalnyWeb"/>
        <w:numPr>
          <w:ilvl w:val="0"/>
          <w:numId w:val="12"/>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Reagowanie na zgłoszenia dyskryminacji:</w:t>
      </w:r>
      <w:r w:rsidRPr="007A66CF">
        <w:rPr>
          <w:rFonts w:ascii="Calibri" w:hAnsi="Calibri" w:cs="Calibri"/>
          <w:sz w:val="23"/>
          <w:szCs w:val="23"/>
        </w:rPr>
        <w:br/>
        <w:t>Wszelkie zgłoszenia dotyczące nierównego traktowania rodziców są natychmiastowo rozpatrywane, a ewentualne błędy w procesie rekrutacyjnym korygowane.</w:t>
      </w:r>
    </w:p>
    <w:p w14:paraId="4ADED8FD" w14:textId="77777777" w:rsidR="00D539D3" w:rsidRPr="007A66CF" w:rsidRDefault="00D539D3" w:rsidP="007A66CF">
      <w:pPr>
        <w:pStyle w:val="NormalnyWeb"/>
        <w:numPr>
          <w:ilvl w:val="0"/>
          <w:numId w:val="12"/>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Szkolenia dla personelu projektu:</w:t>
      </w:r>
      <w:r w:rsidRPr="007A66CF">
        <w:rPr>
          <w:rFonts w:ascii="Calibri" w:hAnsi="Calibri" w:cs="Calibri"/>
          <w:sz w:val="23"/>
          <w:szCs w:val="23"/>
        </w:rPr>
        <w:br/>
        <w:t>Osoby zaangażowane w realizację przejdą szkolenia z zakresu równości szans i przeciwdziałania dyskryminacji.</w:t>
      </w:r>
    </w:p>
    <w:p w14:paraId="62373B00" w14:textId="77777777" w:rsidR="00D539D3" w:rsidRPr="007A66CF" w:rsidRDefault="00D539D3" w:rsidP="007A66CF">
      <w:pPr>
        <w:pStyle w:val="NormalnyWeb"/>
        <w:numPr>
          <w:ilvl w:val="0"/>
          <w:numId w:val="12"/>
        </w:numPr>
        <w:spacing w:before="0" w:beforeAutospacing="0" w:after="0" w:afterAutospacing="0"/>
        <w:rPr>
          <w:rFonts w:ascii="Calibri" w:hAnsi="Calibri" w:cs="Calibri"/>
          <w:sz w:val="23"/>
          <w:szCs w:val="23"/>
        </w:rPr>
      </w:pPr>
      <w:r w:rsidRPr="007A66CF">
        <w:rPr>
          <w:rStyle w:val="Pogrubienie"/>
          <w:rFonts w:ascii="Calibri" w:eastAsiaTheme="majorEastAsia" w:hAnsi="Calibri" w:cs="Calibri"/>
          <w:sz w:val="23"/>
          <w:szCs w:val="23"/>
        </w:rPr>
        <w:t>Monitorowanie przestrzegania zasad:</w:t>
      </w:r>
      <w:r w:rsidRPr="007A66CF">
        <w:rPr>
          <w:rFonts w:ascii="Calibri" w:hAnsi="Calibri" w:cs="Calibri"/>
          <w:sz w:val="23"/>
          <w:szCs w:val="23"/>
        </w:rPr>
        <w:br/>
        <w:t>Projekt posiada system monitorowania, np. zbieranie opinii od rodziców na temat procesu rekrutacji i działań projektowych, aby na bieżąco oceniać przestrzeganie zasad równości i niedyskryminacji.</w:t>
      </w:r>
    </w:p>
    <w:p w14:paraId="7BDF47B6" w14:textId="77777777" w:rsidR="00D539D3" w:rsidRPr="007A66CF" w:rsidRDefault="00D539D3" w:rsidP="007A66CF">
      <w:pPr>
        <w:spacing w:line="240" w:lineRule="auto"/>
        <w:rPr>
          <w:rFonts w:ascii="Calibri" w:hAnsi="Calibri" w:cs="Calibri"/>
          <w:sz w:val="23"/>
          <w:szCs w:val="23"/>
        </w:rPr>
      </w:pPr>
    </w:p>
    <w:p w14:paraId="54D62048" w14:textId="4F42FC61" w:rsidR="00F73990" w:rsidRPr="007A66CF" w:rsidRDefault="00F73990" w:rsidP="007A66CF">
      <w:pPr>
        <w:spacing w:after="0" w:line="240" w:lineRule="auto"/>
        <w:rPr>
          <w:rFonts w:ascii="Calibri" w:hAnsi="Calibri" w:cs="Calibri"/>
          <w:sz w:val="23"/>
          <w:szCs w:val="23"/>
        </w:rPr>
      </w:pPr>
      <w:r w:rsidRPr="007A66CF">
        <w:rPr>
          <w:rFonts w:ascii="Calibri" w:hAnsi="Calibri" w:cs="Calibri"/>
          <w:sz w:val="23"/>
          <w:szCs w:val="23"/>
        </w:rPr>
        <w:t>Opracowano na podstawie:</w:t>
      </w:r>
    </w:p>
    <w:p w14:paraId="089A2FA3" w14:textId="77777777" w:rsidR="0056121D" w:rsidRPr="007A66CF" w:rsidRDefault="0056121D" w:rsidP="007A66CF">
      <w:pPr>
        <w:spacing w:after="0" w:line="240" w:lineRule="auto"/>
        <w:rPr>
          <w:rFonts w:ascii="Calibri" w:hAnsi="Calibri" w:cs="Calibri"/>
          <w:sz w:val="23"/>
          <w:szCs w:val="23"/>
        </w:rPr>
      </w:pPr>
    </w:p>
    <w:p w14:paraId="7E20FF91" w14:textId="1E22357E" w:rsidR="0056121D" w:rsidRPr="007A66CF" w:rsidRDefault="0056121D" w:rsidP="007A66CF">
      <w:pPr>
        <w:spacing w:after="0" w:line="240" w:lineRule="auto"/>
        <w:rPr>
          <w:rFonts w:ascii="Calibri" w:hAnsi="Calibri" w:cs="Calibri"/>
          <w:sz w:val="23"/>
          <w:szCs w:val="23"/>
        </w:rPr>
      </w:pPr>
      <w:r w:rsidRPr="007A66CF">
        <w:rPr>
          <w:rFonts w:ascii="Calibri" w:hAnsi="Calibri" w:cs="Calibri"/>
          <w:sz w:val="23"/>
          <w:szCs w:val="23"/>
        </w:rPr>
        <w:t>Wytyczne dotyczące realizacji zasad równościowych w ramach funduszy unijnych na lata 2021-2027</w:t>
      </w:r>
    </w:p>
    <w:p w14:paraId="640A1CDB" w14:textId="502031BD" w:rsidR="00F73990" w:rsidRPr="007A66CF" w:rsidRDefault="00F73990" w:rsidP="007A66CF">
      <w:pPr>
        <w:spacing w:after="0" w:line="240" w:lineRule="auto"/>
        <w:rPr>
          <w:rFonts w:ascii="Calibri" w:hAnsi="Calibri" w:cs="Calibri"/>
          <w:sz w:val="23"/>
          <w:szCs w:val="23"/>
        </w:rPr>
      </w:pPr>
      <w:r w:rsidRPr="007A66CF">
        <w:rPr>
          <w:rFonts w:ascii="Calibri" w:hAnsi="Calibri" w:cs="Calibri"/>
          <w:sz w:val="23"/>
          <w:szCs w:val="23"/>
        </w:rPr>
        <w:t>Art. 11[2], 11[3], 18[3a] – 18[3e], 55, 94, 94[1] Ustawa z dnia 26 czerwca 1974 r. Kodeks pracy.</w:t>
      </w:r>
    </w:p>
    <w:p w14:paraId="6AAB7E7B" w14:textId="6351BADA" w:rsidR="0056121D" w:rsidRPr="007A66CF" w:rsidRDefault="00241F35" w:rsidP="007A66CF">
      <w:pPr>
        <w:spacing w:after="0" w:line="240" w:lineRule="auto"/>
        <w:rPr>
          <w:rFonts w:ascii="Calibri" w:hAnsi="Calibri" w:cs="Calibri"/>
          <w:sz w:val="23"/>
          <w:szCs w:val="23"/>
        </w:rPr>
      </w:pPr>
      <w:r w:rsidRPr="007A66CF">
        <w:rPr>
          <w:rFonts w:ascii="Calibri" w:hAnsi="Calibri" w:cs="Calibri"/>
          <w:sz w:val="23"/>
          <w:szCs w:val="23"/>
        </w:rPr>
        <w:t>Ustawa z dnia 3 grudnia 2010 r. o wdrożeniu niektórych przepisów Unii Europejskiej w zakresie równego traktowania</w:t>
      </w:r>
    </w:p>
    <w:sectPr w:rsidR="0056121D" w:rsidRPr="007A66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EE474" w14:textId="77777777" w:rsidR="00051EC0" w:rsidRDefault="00051EC0" w:rsidP="00BC7D3E">
      <w:pPr>
        <w:spacing w:after="0" w:line="240" w:lineRule="auto"/>
      </w:pPr>
      <w:r>
        <w:separator/>
      </w:r>
    </w:p>
  </w:endnote>
  <w:endnote w:type="continuationSeparator" w:id="0">
    <w:p w14:paraId="709A7616" w14:textId="77777777" w:rsidR="00051EC0" w:rsidRDefault="00051EC0" w:rsidP="00BC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145508"/>
      <w:docPartObj>
        <w:docPartGallery w:val="Page Numbers (Bottom of Page)"/>
        <w:docPartUnique/>
      </w:docPartObj>
    </w:sdtPr>
    <w:sdtEndPr/>
    <w:sdtContent>
      <w:p w14:paraId="478601A3" w14:textId="5708F3E5" w:rsidR="00F2745E" w:rsidRDefault="00F2745E">
        <w:pPr>
          <w:pStyle w:val="Stopka"/>
          <w:jc w:val="right"/>
        </w:pPr>
        <w:r>
          <w:fldChar w:fldCharType="begin"/>
        </w:r>
        <w:r>
          <w:instrText>PAGE   \* MERGEFORMAT</w:instrText>
        </w:r>
        <w:r>
          <w:fldChar w:fldCharType="separate"/>
        </w:r>
        <w:r>
          <w:t>2</w:t>
        </w:r>
        <w:r>
          <w:fldChar w:fldCharType="end"/>
        </w:r>
      </w:p>
    </w:sdtContent>
  </w:sdt>
  <w:p w14:paraId="5C01A3E5" w14:textId="77777777" w:rsidR="00F2745E" w:rsidRDefault="00F274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784B5" w14:textId="77777777" w:rsidR="00051EC0" w:rsidRDefault="00051EC0" w:rsidP="00BC7D3E">
      <w:pPr>
        <w:spacing w:after="0" w:line="240" w:lineRule="auto"/>
      </w:pPr>
      <w:r>
        <w:separator/>
      </w:r>
    </w:p>
  </w:footnote>
  <w:footnote w:type="continuationSeparator" w:id="0">
    <w:p w14:paraId="04A1C493" w14:textId="77777777" w:rsidR="00051EC0" w:rsidRDefault="00051EC0" w:rsidP="00BC7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22D9" w14:textId="3C3EB947" w:rsidR="00BC7D3E" w:rsidRDefault="00A67481">
    <w:pPr>
      <w:pStyle w:val="Nagwek"/>
    </w:pPr>
    <w:r>
      <w:rPr>
        <w:noProof/>
      </w:rPr>
      <w:drawing>
        <wp:anchor distT="0" distB="0" distL="114300" distR="114300" simplePos="0" relativeHeight="251659264" behindDoc="1" locked="0" layoutInCell="1" allowOverlap="1" wp14:anchorId="60C154DD" wp14:editId="78B97E41">
          <wp:simplePos x="0" y="0"/>
          <wp:positionH relativeFrom="margin">
            <wp:align>center</wp:align>
          </wp:positionH>
          <wp:positionV relativeFrom="paragraph">
            <wp:posOffset>-220980</wp:posOffset>
          </wp:positionV>
          <wp:extent cx="4724400" cy="661416"/>
          <wp:effectExtent l="0" t="0" r="0" b="5715"/>
          <wp:wrapTight wrapText="bothSides">
            <wp:wrapPolygon edited="0">
              <wp:start x="0" y="0"/>
              <wp:lineTo x="0" y="21164"/>
              <wp:lineTo x="21513" y="21164"/>
              <wp:lineTo x="21513" y="0"/>
              <wp:lineTo x="0" y="0"/>
            </wp:wrapPolygon>
          </wp:wrapTight>
          <wp:docPr id="124947283" name="Obraz 1" descr="Obraz zawierający tekst, Czcionka, biały,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7283" name="Obraz 1" descr="Obraz zawierający tekst, Czcionka, biały, czarne i białe&#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724400" cy="6614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C37FC"/>
    <w:multiLevelType w:val="multilevel"/>
    <w:tmpl w:val="127C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20C49"/>
    <w:multiLevelType w:val="multilevel"/>
    <w:tmpl w:val="E2EC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63A5F"/>
    <w:multiLevelType w:val="multilevel"/>
    <w:tmpl w:val="1ABCF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E5E5B"/>
    <w:multiLevelType w:val="multilevel"/>
    <w:tmpl w:val="292AB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0D6E38"/>
    <w:multiLevelType w:val="multilevel"/>
    <w:tmpl w:val="4162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0A35FA"/>
    <w:multiLevelType w:val="multilevel"/>
    <w:tmpl w:val="E0B888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EA3C94"/>
    <w:multiLevelType w:val="multilevel"/>
    <w:tmpl w:val="7266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70402A"/>
    <w:multiLevelType w:val="multilevel"/>
    <w:tmpl w:val="8C96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9E319E"/>
    <w:multiLevelType w:val="multilevel"/>
    <w:tmpl w:val="7458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2E2447"/>
    <w:multiLevelType w:val="multilevel"/>
    <w:tmpl w:val="05001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B13FF6"/>
    <w:multiLevelType w:val="multilevel"/>
    <w:tmpl w:val="FE989F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6F3914"/>
    <w:multiLevelType w:val="multilevel"/>
    <w:tmpl w:val="FBB0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6230429">
    <w:abstractNumId w:val="8"/>
  </w:num>
  <w:num w:numId="2" w16cid:durableId="234362059">
    <w:abstractNumId w:val="10"/>
  </w:num>
  <w:num w:numId="3" w16cid:durableId="119878777">
    <w:abstractNumId w:val="0"/>
  </w:num>
  <w:num w:numId="4" w16cid:durableId="377777438">
    <w:abstractNumId w:val="11"/>
  </w:num>
  <w:num w:numId="5" w16cid:durableId="565993218">
    <w:abstractNumId w:val="7"/>
  </w:num>
  <w:num w:numId="6" w16cid:durableId="681860604">
    <w:abstractNumId w:val="2"/>
  </w:num>
  <w:num w:numId="7" w16cid:durableId="1707676808">
    <w:abstractNumId w:val="1"/>
  </w:num>
  <w:num w:numId="8" w16cid:durableId="2062367694">
    <w:abstractNumId w:val="3"/>
  </w:num>
  <w:num w:numId="9" w16cid:durableId="703749764">
    <w:abstractNumId w:val="6"/>
  </w:num>
  <w:num w:numId="10" w16cid:durableId="16468378">
    <w:abstractNumId w:val="5"/>
  </w:num>
  <w:num w:numId="11" w16cid:durableId="2020236960">
    <w:abstractNumId w:val="4"/>
  </w:num>
  <w:num w:numId="12" w16cid:durableId="1668706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15"/>
    <w:rsid w:val="00051EC0"/>
    <w:rsid w:val="00171DAE"/>
    <w:rsid w:val="002258AC"/>
    <w:rsid w:val="00241F35"/>
    <w:rsid w:val="002E77F9"/>
    <w:rsid w:val="00371E15"/>
    <w:rsid w:val="00463E50"/>
    <w:rsid w:val="0056121D"/>
    <w:rsid w:val="00574E40"/>
    <w:rsid w:val="00712FDB"/>
    <w:rsid w:val="007A66CF"/>
    <w:rsid w:val="007F3257"/>
    <w:rsid w:val="0081758B"/>
    <w:rsid w:val="008A5078"/>
    <w:rsid w:val="008C7BF9"/>
    <w:rsid w:val="00916857"/>
    <w:rsid w:val="00947ED2"/>
    <w:rsid w:val="00A24435"/>
    <w:rsid w:val="00A515AE"/>
    <w:rsid w:val="00A67481"/>
    <w:rsid w:val="00AF01AF"/>
    <w:rsid w:val="00B9119B"/>
    <w:rsid w:val="00B93534"/>
    <w:rsid w:val="00BC7D3E"/>
    <w:rsid w:val="00D539D3"/>
    <w:rsid w:val="00DA2BA4"/>
    <w:rsid w:val="00DC19C2"/>
    <w:rsid w:val="00F1032B"/>
    <w:rsid w:val="00F2745E"/>
    <w:rsid w:val="00F73990"/>
    <w:rsid w:val="00FA2A0F"/>
    <w:rsid w:val="00FD5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8A1A"/>
  <w15:chartTrackingRefBased/>
  <w15:docId w15:val="{C24FC2ED-9947-4D7B-80A4-9865F240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71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71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71E1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71E1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71E1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71E1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71E1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71E1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71E1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1E1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71E1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71E1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71E1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71E1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71E1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71E1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71E1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71E15"/>
    <w:rPr>
      <w:rFonts w:eastAsiaTheme="majorEastAsia" w:cstheme="majorBidi"/>
      <w:color w:val="272727" w:themeColor="text1" w:themeTint="D8"/>
    </w:rPr>
  </w:style>
  <w:style w:type="paragraph" w:styleId="Tytu">
    <w:name w:val="Title"/>
    <w:basedOn w:val="Normalny"/>
    <w:next w:val="Normalny"/>
    <w:link w:val="TytuZnak"/>
    <w:uiPriority w:val="10"/>
    <w:qFormat/>
    <w:rsid w:val="00371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71E1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71E1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71E1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71E15"/>
    <w:pPr>
      <w:spacing w:before="160"/>
      <w:jc w:val="center"/>
    </w:pPr>
    <w:rPr>
      <w:i/>
      <w:iCs/>
      <w:color w:val="404040" w:themeColor="text1" w:themeTint="BF"/>
    </w:rPr>
  </w:style>
  <w:style w:type="character" w:customStyle="1" w:styleId="CytatZnak">
    <w:name w:val="Cytat Znak"/>
    <w:basedOn w:val="Domylnaczcionkaakapitu"/>
    <w:link w:val="Cytat"/>
    <w:uiPriority w:val="29"/>
    <w:rsid w:val="00371E15"/>
    <w:rPr>
      <w:i/>
      <w:iCs/>
      <w:color w:val="404040" w:themeColor="text1" w:themeTint="BF"/>
    </w:rPr>
  </w:style>
  <w:style w:type="paragraph" w:styleId="Akapitzlist">
    <w:name w:val="List Paragraph"/>
    <w:basedOn w:val="Normalny"/>
    <w:uiPriority w:val="34"/>
    <w:qFormat/>
    <w:rsid w:val="00371E15"/>
    <w:pPr>
      <w:ind w:left="720"/>
      <w:contextualSpacing/>
    </w:pPr>
  </w:style>
  <w:style w:type="character" w:styleId="Wyrnienieintensywne">
    <w:name w:val="Intense Emphasis"/>
    <w:basedOn w:val="Domylnaczcionkaakapitu"/>
    <w:uiPriority w:val="21"/>
    <w:qFormat/>
    <w:rsid w:val="00371E15"/>
    <w:rPr>
      <w:i/>
      <w:iCs/>
      <w:color w:val="0F4761" w:themeColor="accent1" w:themeShade="BF"/>
    </w:rPr>
  </w:style>
  <w:style w:type="paragraph" w:styleId="Cytatintensywny">
    <w:name w:val="Intense Quote"/>
    <w:basedOn w:val="Normalny"/>
    <w:next w:val="Normalny"/>
    <w:link w:val="CytatintensywnyZnak"/>
    <w:uiPriority w:val="30"/>
    <w:qFormat/>
    <w:rsid w:val="00371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71E15"/>
    <w:rPr>
      <w:i/>
      <w:iCs/>
      <w:color w:val="0F4761" w:themeColor="accent1" w:themeShade="BF"/>
    </w:rPr>
  </w:style>
  <w:style w:type="character" w:styleId="Odwoanieintensywne">
    <w:name w:val="Intense Reference"/>
    <w:basedOn w:val="Domylnaczcionkaakapitu"/>
    <w:uiPriority w:val="32"/>
    <w:qFormat/>
    <w:rsid w:val="00371E15"/>
    <w:rPr>
      <w:b/>
      <w:bCs/>
      <w:smallCaps/>
      <w:color w:val="0F4761" w:themeColor="accent1" w:themeShade="BF"/>
      <w:spacing w:val="5"/>
    </w:rPr>
  </w:style>
  <w:style w:type="paragraph" w:styleId="Nagwek">
    <w:name w:val="header"/>
    <w:basedOn w:val="Normalny"/>
    <w:link w:val="NagwekZnak"/>
    <w:uiPriority w:val="99"/>
    <w:unhideWhenUsed/>
    <w:rsid w:val="00BC7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7D3E"/>
  </w:style>
  <w:style w:type="paragraph" w:styleId="Stopka">
    <w:name w:val="footer"/>
    <w:basedOn w:val="Normalny"/>
    <w:link w:val="StopkaZnak"/>
    <w:uiPriority w:val="99"/>
    <w:unhideWhenUsed/>
    <w:rsid w:val="00BC7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7D3E"/>
  </w:style>
  <w:style w:type="character" w:styleId="Pogrubienie">
    <w:name w:val="Strong"/>
    <w:basedOn w:val="Domylnaczcionkaakapitu"/>
    <w:uiPriority w:val="22"/>
    <w:qFormat/>
    <w:rsid w:val="00D539D3"/>
    <w:rPr>
      <w:b/>
      <w:bCs/>
    </w:rPr>
  </w:style>
  <w:style w:type="paragraph" w:styleId="NormalnyWeb">
    <w:name w:val="Normal (Web)"/>
    <w:basedOn w:val="Normalny"/>
    <w:uiPriority w:val="99"/>
    <w:unhideWhenUsed/>
    <w:rsid w:val="00D539D3"/>
    <w:pPr>
      <w:spacing w:before="100" w:beforeAutospacing="1" w:after="100" w:afterAutospacing="1"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5315</Words>
  <Characters>31896</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Betka</dc:creator>
  <cp:keywords/>
  <dc:description/>
  <cp:lastModifiedBy>Agnieszka Jędrzejczak</cp:lastModifiedBy>
  <cp:revision>22</cp:revision>
  <dcterms:created xsi:type="dcterms:W3CDTF">2024-11-04T20:04:00Z</dcterms:created>
  <dcterms:modified xsi:type="dcterms:W3CDTF">2025-09-18T08:52:00Z</dcterms:modified>
</cp:coreProperties>
</file>